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C9CF" w14:textId="602BDD04" w:rsidR="003C3B82" w:rsidRDefault="003C3B82" w:rsidP="00AF7B7D">
      <w:pPr>
        <w:jc w:val="center"/>
      </w:pPr>
      <w:r w:rsidRPr="00AF7B7D">
        <w:rPr>
          <w:rStyle w:val="Titre2Car"/>
        </w:rPr>
        <w:t xml:space="preserve">Quand archéologie et numismatique se </w:t>
      </w:r>
      <w:r w:rsidR="00AF7B7D" w:rsidRPr="00AF7B7D">
        <w:rPr>
          <w:rStyle w:val="Titre2Car"/>
        </w:rPr>
        <w:t>rejoignent</w:t>
      </w:r>
      <w:r w:rsidR="00AF7B7D">
        <w:t>.</w:t>
      </w:r>
    </w:p>
    <w:p w14:paraId="62A6B6B8" w14:textId="4D12D76E" w:rsidR="003C3B82" w:rsidRDefault="003C3B82" w:rsidP="00AF7B7D">
      <w:pPr>
        <w:ind w:firstLine="708"/>
        <w:jc w:val="both"/>
      </w:pPr>
      <w:r w:rsidRPr="003C3B82">
        <w:t>L'archéologie est une discipline scientifique dont l'objectif est d'étudier l'être humain à travers l'ensemble des vestiges matériels (artéfacts et faits archéologiques) ayant subsisté au cours des siècles. Provenant de fouilles ou non, ces vestiges sont de nature variée : outils, ossements, poteries, armes, pièces de monnaie, bijoux, vêtements, empreintes, traces, peintures, bâtiments, infrastructures, etc.</w:t>
      </w:r>
    </w:p>
    <w:p w14:paraId="2392CA2F" w14:textId="313A978B" w:rsidR="003C3B82" w:rsidRDefault="00BF1DFB" w:rsidP="00AF7B7D">
      <w:pPr>
        <w:ind w:firstLine="708"/>
        <w:jc w:val="both"/>
      </w:pPr>
      <w:r>
        <w:t xml:space="preserve">La numismatique a pour objet l'étude des monnaies et médailles. Considérée comme une science auxiliaire de l'histoire, elle est particulièrement utile dans les recherches en histoire antique (notamment romaine ou grecque). Elle sert aussi en archéologie, en particulier comme </w:t>
      </w:r>
      <w:r w:rsidR="00DC5539">
        <w:t>outil voire critère</w:t>
      </w:r>
      <w:r>
        <w:t xml:space="preserve"> de datation.</w:t>
      </w:r>
      <w:r w:rsidR="003A7FDA">
        <w:t xml:space="preserve"> </w:t>
      </w:r>
      <w:r w:rsidR="005214E0" w:rsidRPr="005214E0">
        <w:t>L’étude des portraits</w:t>
      </w:r>
      <w:r w:rsidR="002D4DF0">
        <w:t>, des</w:t>
      </w:r>
      <w:r w:rsidR="005214E0" w:rsidRPr="005214E0">
        <w:t xml:space="preserve"> types, </w:t>
      </w:r>
      <w:r w:rsidR="002D4DF0">
        <w:t xml:space="preserve">des </w:t>
      </w:r>
      <w:r w:rsidR="005214E0" w:rsidRPr="005214E0">
        <w:t>légendes</w:t>
      </w:r>
      <w:r w:rsidR="004B6A72">
        <w:t>, du métal monétaire</w:t>
      </w:r>
      <w:r w:rsidR="005214E0" w:rsidRPr="005214E0">
        <w:t xml:space="preserve"> et </w:t>
      </w:r>
      <w:r w:rsidR="002D4DF0">
        <w:t xml:space="preserve">des </w:t>
      </w:r>
      <w:r w:rsidR="005214E0" w:rsidRPr="005214E0">
        <w:t>documents épigraphiques y associés</w:t>
      </w:r>
      <w:r w:rsidR="005214E0">
        <w:t>,</w:t>
      </w:r>
      <w:r w:rsidR="005214E0" w:rsidRPr="005214E0">
        <w:t xml:space="preserve"> font de la numismatique une science complémentaire de l’</w:t>
      </w:r>
      <w:r w:rsidR="004B6A72">
        <w:t>h</w:t>
      </w:r>
      <w:r w:rsidR="005214E0" w:rsidRPr="005214E0">
        <w:t>istoire.</w:t>
      </w:r>
      <w:r w:rsidR="005214E0">
        <w:t xml:space="preserve"> </w:t>
      </w:r>
      <w:r w:rsidR="004B6A72">
        <w:t>C</w:t>
      </w:r>
      <w:r w:rsidR="003A7FDA">
        <w:t>haque monnaie</w:t>
      </w:r>
      <w:r w:rsidR="005214E0">
        <w:t>, instrument du pouvoir émetteur</w:t>
      </w:r>
      <w:r w:rsidR="007F43D5">
        <w:t xml:space="preserve"> et indispensable pour le commun des mortels,</w:t>
      </w:r>
      <w:r w:rsidR="005214E0">
        <w:t xml:space="preserve"> </w:t>
      </w:r>
      <w:r w:rsidR="003A7FDA">
        <w:t xml:space="preserve">est un morceau d’Histoire dans le métal monétaire mais </w:t>
      </w:r>
      <w:r w:rsidR="002D4DF0">
        <w:t>aussi,</w:t>
      </w:r>
      <w:r w:rsidR="003A7FDA">
        <w:t xml:space="preserve"> chaque monnaie </w:t>
      </w:r>
      <w:r w:rsidR="004B6A72">
        <w:t>a</w:t>
      </w:r>
      <w:r w:rsidR="003A7FDA">
        <w:t xml:space="preserve"> son histoire en termes d’utilisation et de circulation.</w:t>
      </w:r>
    </w:p>
    <w:p w14:paraId="56B802E9" w14:textId="13FA60A7" w:rsidR="00BF1DFB" w:rsidRDefault="00BF1DFB" w:rsidP="00AF7B7D">
      <w:pPr>
        <w:ind w:firstLine="708"/>
        <w:jc w:val="both"/>
      </w:pPr>
      <w:r>
        <w:t>Deux disciplines apparemment différentes ayant</w:t>
      </w:r>
      <w:r w:rsidR="005214E0">
        <w:t xml:space="preserve"> toutefois</w:t>
      </w:r>
      <w:r>
        <w:t xml:space="preserve"> un dénominateur commun « la monnaie en tant qu’outil de datation ». Que se cache t’il derrière cela ? Les lignes ci-dessous visent à donner un coup de projecteur plus appuyé sur </w:t>
      </w:r>
      <w:r w:rsidR="005214E0">
        <w:t xml:space="preserve">les possibilités et limitations de </w:t>
      </w:r>
      <w:r>
        <w:t>cet « outil ».</w:t>
      </w:r>
      <w:r w:rsidR="00AF7B7D">
        <w:t xml:space="preserve"> </w:t>
      </w:r>
    </w:p>
    <w:p w14:paraId="0B61E899" w14:textId="00240CA3" w:rsidR="00BF1DFB" w:rsidRPr="00BF1DFB" w:rsidRDefault="00471F77" w:rsidP="00AF7B7D">
      <w:pPr>
        <w:jc w:val="both"/>
        <w:rPr>
          <w:b/>
          <w:bCs/>
        </w:rPr>
      </w:pPr>
      <w:r>
        <w:rPr>
          <w:b/>
          <w:bCs/>
        </w:rPr>
        <w:t>Clause lexicale</w:t>
      </w:r>
    </w:p>
    <w:p w14:paraId="725583FE" w14:textId="3DC941B8" w:rsidR="005214E0" w:rsidRDefault="00BF1DFB" w:rsidP="00AF7B7D">
      <w:pPr>
        <w:ind w:firstLine="708"/>
        <w:jc w:val="both"/>
      </w:pPr>
      <w:r>
        <w:t xml:space="preserve">L’archéologie étudie entre autres des </w:t>
      </w:r>
      <w:r w:rsidRPr="002D4DF0">
        <w:rPr>
          <w:b/>
          <w:bCs/>
        </w:rPr>
        <w:t xml:space="preserve">artéfacts </w:t>
      </w:r>
      <w:r>
        <w:t xml:space="preserve">découverts lors de fouilles, c’est-à-dire des objets humains, faits de la main de l’homme : </w:t>
      </w:r>
      <w:r w:rsidR="002D4DF0">
        <w:t>u</w:t>
      </w:r>
      <w:r>
        <w:t xml:space="preserve">ne monnaie répond parfaitement à cette définition. </w:t>
      </w:r>
    </w:p>
    <w:p w14:paraId="0792D6FD" w14:textId="7183983A" w:rsidR="00AF7B7D" w:rsidRDefault="00AF7B7D" w:rsidP="00AF7B7D">
      <w:pPr>
        <w:ind w:firstLine="708"/>
        <w:jc w:val="both"/>
      </w:pPr>
      <w:r w:rsidRPr="00AF7B7D">
        <w:t xml:space="preserve">En numismatique, le </w:t>
      </w:r>
      <w:r w:rsidRPr="002D4DF0">
        <w:rPr>
          <w:b/>
          <w:bCs/>
        </w:rPr>
        <w:t>frai</w:t>
      </w:r>
      <w:r w:rsidRPr="00AF7B7D">
        <w:t xml:space="preserve"> est l'usure subie par une pièce de monnaie du fait de sa circulation et la perte de poids (masse) qui en résulte. Le frai est égal à l'écart entre le poids théorique </w:t>
      </w:r>
      <w:r w:rsidR="00BF2167">
        <w:t>des monnaies de même type</w:t>
      </w:r>
      <w:r w:rsidR="00B7723D">
        <w:t xml:space="preserve"> à la sortie de l’atelier monétaire</w:t>
      </w:r>
      <w:r w:rsidRPr="00AF7B7D">
        <w:t xml:space="preserve"> et </w:t>
      </w:r>
      <w:r w:rsidR="00BF2167">
        <w:t>son</w:t>
      </w:r>
      <w:r w:rsidRPr="00AF7B7D">
        <w:t xml:space="preserve"> poids réel</w:t>
      </w:r>
      <w:r w:rsidR="005214E0">
        <w:t xml:space="preserve"> au moment de </w:t>
      </w:r>
      <w:r w:rsidR="00BF2167">
        <w:t>s</w:t>
      </w:r>
      <w:r w:rsidR="005214E0">
        <w:t xml:space="preserve">a découverte. Cet écart </w:t>
      </w:r>
      <w:r w:rsidR="002D4DF0">
        <w:t>est</w:t>
      </w:r>
      <w:r w:rsidR="005214E0">
        <w:t xml:space="preserve"> </w:t>
      </w:r>
      <w:r w:rsidR="00AF3D95">
        <w:t>donc,</w:t>
      </w:r>
      <w:r w:rsidR="002D4DF0">
        <w:t xml:space="preserve"> pour </w:t>
      </w:r>
      <w:r w:rsidR="00885BED">
        <w:t>une monnaie</w:t>
      </w:r>
      <w:r w:rsidR="002D4DF0">
        <w:t xml:space="preserve">, </w:t>
      </w:r>
      <w:r w:rsidR="005214E0">
        <w:t xml:space="preserve">fonction du temps durant lequel </w:t>
      </w:r>
      <w:r w:rsidR="002D4DF0">
        <w:t xml:space="preserve">cette </w:t>
      </w:r>
      <w:r w:rsidR="00885BED">
        <w:t>elle</w:t>
      </w:r>
      <w:r w:rsidR="005214E0">
        <w:t xml:space="preserve"> fut utilisée.</w:t>
      </w:r>
    </w:p>
    <w:p w14:paraId="10FF3760" w14:textId="33CA96E1" w:rsidR="00AF7B7D" w:rsidRDefault="00AF7B7D" w:rsidP="00AF7B7D">
      <w:pPr>
        <w:ind w:firstLine="708"/>
        <w:jc w:val="both"/>
      </w:pPr>
      <w:r>
        <w:t xml:space="preserve">Une </w:t>
      </w:r>
      <w:r w:rsidRPr="002D4DF0">
        <w:rPr>
          <w:b/>
          <w:bCs/>
        </w:rPr>
        <w:t>strate archéologique</w:t>
      </w:r>
      <w:r>
        <w:t xml:space="preserve"> (ou couche archéologique) </w:t>
      </w:r>
      <w:r w:rsidRPr="00AF7B7D">
        <w:t xml:space="preserve">se définit comme une unité de sol constituée des dépôts laissés par les hommes ou contenant les vestiges datés </w:t>
      </w:r>
      <w:r w:rsidR="002D4DF0">
        <w:t xml:space="preserve">et cohérents </w:t>
      </w:r>
      <w:r w:rsidRPr="00AF7B7D">
        <w:t xml:space="preserve">de leurs activités. Elle est donc déterminée à partir de l’ensemble des différents vestiges trouvés dans le site. La couche archéologique </w:t>
      </w:r>
      <w:r w:rsidR="00DA20C0">
        <w:t>n’est pas à confondre avec</w:t>
      </w:r>
      <w:r w:rsidRPr="00AF7B7D">
        <w:t xml:space="preserve"> la couche géologique qui se définit comme « une unité sédimentaire s’étant accumulée dans des conditions physiques constantes</w:t>
      </w:r>
      <w:r w:rsidR="002D4DF0">
        <w:t> »</w:t>
      </w:r>
      <w:r w:rsidR="00E74C96">
        <w:t xml:space="preserve">. Cette définition </w:t>
      </w:r>
      <w:r w:rsidR="00445891">
        <w:t>de la strate</w:t>
      </w:r>
      <w:r w:rsidR="00BB327A">
        <w:t xml:space="preserve"> archéologique</w:t>
      </w:r>
      <w:r w:rsidR="00445891">
        <w:t xml:space="preserve"> </w:t>
      </w:r>
      <w:r w:rsidR="00E74C96">
        <w:t xml:space="preserve">nous semble néanmoins </w:t>
      </w:r>
      <w:r w:rsidR="00AF3D95">
        <w:t>un peu</w:t>
      </w:r>
      <w:r w:rsidR="006D310D">
        <w:t xml:space="preserve"> </w:t>
      </w:r>
      <w:r w:rsidR="008F668D">
        <w:t>générale.</w:t>
      </w:r>
      <w:r w:rsidR="00E74C96">
        <w:t xml:space="preserve"> En </w:t>
      </w:r>
      <w:r w:rsidR="00AA51F4">
        <w:t>effet,</w:t>
      </w:r>
      <w:r w:rsidR="00E74C96">
        <w:t xml:space="preserve"> la couche</w:t>
      </w:r>
      <w:r w:rsidR="00AA51F4">
        <w:t xml:space="preserve"> de surface également</w:t>
      </w:r>
      <w:r w:rsidR="00E74C96">
        <w:t xml:space="preserve"> dite de pollution ou couche de labours n’intéresse pas les archéologues et pour cause</w:t>
      </w:r>
      <w:r w:rsidR="00AA51F4">
        <w:rPr>
          <w:rStyle w:val="Appelnotedebasdep"/>
        </w:rPr>
        <w:footnoteReference w:id="1"/>
      </w:r>
      <w:r w:rsidR="00E74C96">
        <w:t xml:space="preserve">. </w:t>
      </w:r>
      <w:r w:rsidR="00AA51F4">
        <w:t xml:space="preserve">Les seules informations qu’une </w:t>
      </w:r>
      <w:r w:rsidR="00AA51F4">
        <w:lastRenderedPageBreak/>
        <w:t xml:space="preserve">monnaie découverte dans cette couche </w:t>
      </w:r>
      <w:r w:rsidR="006D310D">
        <w:t>sont qu’elle</w:t>
      </w:r>
      <w:r w:rsidR="00AA51F4">
        <w:t xml:space="preserve"> fut perdue. La chose se complique avec les terres dites de remblais ou rapportées </w:t>
      </w:r>
      <w:r w:rsidR="0039367B">
        <w:t>c’est-à-dire dont la</w:t>
      </w:r>
      <w:r w:rsidR="00AA51F4">
        <w:t xml:space="preserve"> provenance</w:t>
      </w:r>
      <w:r w:rsidR="0039367B">
        <w:t xml:space="preserve"> est </w:t>
      </w:r>
      <w:r w:rsidR="00AA51F4">
        <w:t xml:space="preserve">plus ou moins éloignée. </w:t>
      </w:r>
      <w:r w:rsidR="008005EB">
        <w:t xml:space="preserve">La seule information que le numismate puisse fournir au sujet de cette (ces) monnaie(s) découverte(s) dans ces couches est son identification : atelier d’origine, date d’émission plus ou moins précise et sa (leur) masse(s) par rapport à la masse </w:t>
      </w:r>
      <w:r w:rsidR="00445891">
        <w:t>théorique,</w:t>
      </w:r>
      <w:r w:rsidR="008005EB">
        <w:t xml:space="preserve"> </w:t>
      </w:r>
      <w:r w:rsidR="00445891">
        <w:t>témoin</w:t>
      </w:r>
      <w:r w:rsidR="008005EB">
        <w:t xml:space="preserve">(s) de la circulation de ces artéfacts. </w:t>
      </w:r>
      <w:r w:rsidR="002D4DF0">
        <w:t xml:space="preserve">Des terres de </w:t>
      </w:r>
      <w:r w:rsidR="0039367B">
        <w:t>remblais sont</w:t>
      </w:r>
      <w:r w:rsidR="002D4DF0">
        <w:t xml:space="preserve"> </w:t>
      </w:r>
      <w:r w:rsidR="00BB327A">
        <w:t>transportées vers un endroit isolé</w:t>
      </w:r>
      <w:r w:rsidR="002D4DF0">
        <w:t xml:space="preserve"> et ne sont pas le t</w:t>
      </w:r>
      <w:r w:rsidR="00DF609E">
        <w:t>é</w:t>
      </w:r>
      <w:r w:rsidR="002D4DF0">
        <w:t>moin d’un</w:t>
      </w:r>
      <w:r w:rsidR="00DF609E">
        <w:t>e</w:t>
      </w:r>
      <w:r w:rsidR="002D4DF0">
        <w:t xml:space="preserve"> occupation humaine à cet endroit particulier</w:t>
      </w:r>
      <w:r w:rsidR="00DF609E">
        <w:t xml:space="preserve"> mais révèlent que cette (ces) monnaie(s) fut (furent) perdues peut être à l’endroit de provenance </w:t>
      </w:r>
      <w:r w:rsidR="0039367B">
        <w:t>du remblai</w:t>
      </w:r>
      <w:r w:rsidR="00DF609E">
        <w:t>, voire lors du transfert de ce dernier.</w:t>
      </w:r>
      <w:r w:rsidR="00D70D14">
        <w:t xml:space="preserve"> La chose se </w:t>
      </w:r>
      <w:r w:rsidR="00055F73">
        <w:t>complique,</w:t>
      </w:r>
      <w:r w:rsidR="00D70D14">
        <w:t xml:space="preserve"> lorsque l’endroit de découverte sert justement à recueillir différents remblais. </w:t>
      </w:r>
    </w:p>
    <w:p w14:paraId="5FC38261" w14:textId="6744A8EF" w:rsidR="00055F73" w:rsidRDefault="00055F73" w:rsidP="00AF7B7D">
      <w:pPr>
        <w:ind w:firstLine="708"/>
        <w:jc w:val="both"/>
      </w:pPr>
      <w:r>
        <w:t xml:space="preserve">Le </w:t>
      </w:r>
      <w:r w:rsidRPr="00055F73">
        <w:rPr>
          <w:b/>
          <w:bCs/>
        </w:rPr>
        <w:t>« terminus ante quem »</w:t>
      </w:r>
      <w:r>
        <w:t xml:space="preserve"> est le </w:t>
      </w:r>
      <w:r w:rsidRPr="00055F73">
        <w:t>point</w:t>
      </w:r>
      <w:r>
        <w:t xml:space="preserve"> (moment)</w:t>
      </w:r>
      <w:r w:rsidRPr="00055F73">
        <w:t xml:space="preserve"> le plus proche dans le temps (selon les connaissances actuelles) après lequel un événement n’a pas pu se produire.</w:t>
      </w:r>
      <w:r>
        <w:t xml:space="preserve"> Son contraire, donc au plus tôt, est le </w:t>
      </w:r>
      <w:r w:rsidRPr="00055F73">
        <w:rPr>
          <w:b/>
          <w:bCs/>
        </w:rPr>
        <w:t>« terminus post quem</w:t>
      </w:r>
      <w:r w:rsidR="001D2134">
        <w:rPr>
          <w:b/>
          <w:bCs/>
        </w:rPr>
        <w:t> »</w:t>
      </w:r>
      <w:r>
        <w:t>)</w:t>
      </w:r>
      <w:r w:rsidR="001D2134">
        <w:t>.</w:t>
      </w:r>
    </w:p>
    <w:p w14:paraId="7F348D3A" w14:textId="79561A2B" w:rsidR="00445891" w:rsidRDefault="00445891" w:rsidP="00445891">
      <w:pPr>
        <w:jc w:val="both"/>
      </w:pPr>
      <w:r w:rsidRPr="006D310D">
        <w:rPr>
          <w:b/>
          <w:bCs/>
        </w:rPr>
        <w:t>Les différent</w:t>
      </w:r>
      <w:r w:rsidR="006D310D">
        <w:rPr>
          <w:b/>
          <w:bCs/>
        </w:rPr>
        <w:t>e</w:t>
      </w:r>
      <w:r w:rsidRPr="006D310D">
        <w:rPr>
          <w:b/>
          <w:bCs/>
        </w:rPr>
        <w:t xml:space="preserve">s </w:t>
      </w:r>
      <w:r w:rsidR="006D310D">
        <w:rPr>
          <w:b/>
          <w:bCs/>
        </w:rPr>
        <w:t xml:space="preserve">formes </w:t>
      </w:r>
      <w:r w:rsidRPr="006D310D">
        <w:rPr>
          <w:b/>
          <w:bCs/>
        </w:rPr>
        <w:t>de trouvailles</w:t>
      </w:r>
      <w:r w:rsidR="006D310D" w:rsidRPr="006D310D">
        <w:rPr>
          <w:b/>
          <w:bCs/>
        </w:rPr>
        <w:t xml:space="preserve"> monétaires</w:t>
      </w:r>
      <w:r w:rsidRPr="006D310D">
        <w:rPr>
          <w:b/>
          <w:bCs/>
        </w:rPr>
        <w:t xml:space="preserve"> sur des sites archéologiques </w:t>
      </w:r>
      <w:r>
        <w:t>(P. Ex</w:t>
      </w:r>
      <w:r w:rsidR="0039367B">
        <w:t xml:space="preserve"> le site de </w:t>
      </w:r>
      <w:r>
        <w:t xml:space="preserve"> Liberchie</w:t>
      </w:r>
      <w:r w:rsidR="0039367B">
        <w:t>s en Hainaut</w:t>
      </w:r>
      <w:r>
        <w:t>).</w:t>
      </w:r>
    </w:p>
    <w:p w14:paraId="1453BEFD" w14:textId="1469103B" w:rsidR="000368A9" w:rsidRDefault="00445891" w:rsidP="00445891">
      <w:pPr>
        <w:pStyle w:val="Paragraphedeliste"/>
        <w:numPr>
          <w:ilvl w:val="0"/>
          <w:numId w:val="1"/>
        </w:numPr>
        <w:jc w:val="both"/>
      </w:pPr>
      <w:r w:rsidRPr="00AC5884">
        <w:rPr>
          <w:b/>
          <w:bCs/>
        </w:rPr>
        <w:t>Une monnaie isolée</w:t>
      </w:r>
      <w:r>
        <w:t xml:space="preserve"> « au milieu de nulle part » sur le site. Ce serait une monnaie perdue par quelqu’un, soit un résident du site ou une personne d</w:t>
      </w:r>
      <w:r w:rsidR="00DF609E">
        <w:t>e</w:t>
      </w:r>
      <w:r>
        <w:t xml:space="preserve"> passage (P Ex un marchand</w:t>
      </w:r>
      <w:r w:rsidR="0020579E">
        <w:t>, un pèlerin, ou encore</w:t>
      </w:r>
      <w:r>
        <w:t xml:space="preserve"> un militaire regagnant son poste</w:t>
      </w:r>
      <w:r w:rsidR="00DF609E">
        <w:t>)</w:t>
      </w:r>
      <w:r>
        <w:t xml:space="preserve">. Il convient, sans certitude toutefois, de recadrer le pédigrée de cette monnaie avec les autres artéfacts du site </w:t>
      </w:r>
      <w:r w:rsidR="000368A9">
        <w:t>afin</w:t>
      </w:r>
      <w:r>
        <w:t xml:space="preserve"> de prédire</w:t>
      </w:r>
      <w:r w:rsidR="006D310D">
        <w:t xml:space="preserve"> ou confirmer</w:t>
      </w:r>
      <w:r w:rsidR="00DF609E">
        <w:t>,</w:t>
      </w:r>
      <w:r w:rsidR="006D310D">
        <w:t xml:space="preserve"> vaguement cependant</w:t>
      </w:r>
      <w:r w:rsidR="00DF609E">
        <w:t>,</w:t>
      </w:r>
      <w:r>
        <w:t xml:space="preserve"> une datation</w:t>
      </w:r>
      <w:r w:rsidR="00DF609E">
        <w:t xml:space="preserve"> possible</w:t>
      </w:r>
      <w:r w:rsidR="000368A9">
        <w:t>.</w:t>
      </w:r>
    </w:p>
    <w:p w14:paraId="6851A9A5" w14:textId="15867603" w:rsidR="00445891" w:rsidRDefault="000368A9" w:rsidP="00445891">
      <w:pPr>
        <w:pStyle w:val="Paragraphedeliste"/>
        <w:numPr>
          <w:ilvl w:val="0"/>
          <w:numId w:val="1"/>
        </w:numPr>
        <w:jc w:val="both"/>
      </w:pPr>
      <w:r>
        <w:t xml:space="preserve">Des </w:t>
      </w:r>
      <w:r w:rsidRPr="00AC5884">
        <w:rPr>
          <w:b/>
          <w:bCs/>
        </w:rPr>
        <w:t>monnaies réparties de manière disparate</w:t>
      </w:r>
      <w:r>
        <w:t xml:space="preserve"> </w:t>
      </w:r>
      <w:r w:rsidRPr="002E5A74">
        <w:rPr>
          <w:b/>
          <w:bCs/>
        </w:rPr>
        <w:t>sans</w:t>
      </w:r>
      <w:r>
        <w:t xml:space="preserve"> </w:t>
      </w:r>
      <w:r w:rsidRPr="002E5A74">
        <w:rPr>
          <w:b/>
          <w:bCs/>
        </w:rPr>
        <w:t>trace de contenant</w:t>
      </w:r>
      <w:r>
        <w:t xml:space="preserve"> sur une surface </w:t>
      </w:r>
      <w:r w:rsidR="0039367B">
        <w:t xml:space="preserve">et </w:t>
      </w:r>
      <w:r>
        <w:t xml:space="preserve">appartenant à la même strate archéologique. </w:t>
      </w:r>
      <w:r w:rsidR="00445891">
        <w:t xml:space="preserve"> </w:t>
      </w:r>
      <w:r>
        <w:t>Ce cas est plus intéressant car il témoigne d’une activité humaine plus conséquente voire économique local</w:t>
      </w:r>
      <w:r w:rsidR="00EE6FEF">
        <w:t>e</w:t>
      </w:r>
      <w:r>
        <w:t>, ou un endroit de regroupement populaire</w:t>
      </w:r>
      <w:r w:rsidR="00DF609E">
        <w:t xml:space="preserve"> (un camp, un marché, un forum…)</w:t>
      </w:r>
      <w:r>
        <w:t>. Une datation relative peut être obtenue certes par le pédigrée des monnaies (</w:t>
      </w:r>
      <w:r w:rsidR="0039367B">
        <w:t xml:space="preserve">par </w:t>
      </w:r>
      <w:r>
        <w:t xml:space="preserve">types, métal, atelier, </w:t>
      </w:r>
      <w:r w:rsidR="006A69D9">
        <w:t>origine)</w:t>
      </w:r>
      <w:r>
        <w:t xml:space="preserve"> mais également par les dates d’émissions de la monnaie la plus </w:t>
      </w:r>
      <w:r w:rsidR="00243D5D">
        <w:t>jeune</w:t>
      </w:r>
      <w:r>
        <w:t xml:space="preserve"> et la plus </w:t>
      </w:r>
      <w:r w:rsidR="00243D5D">
        <w:t>vieille</w:t>
      </w:r>
      <w:r>
        <w:t xml:space="preserve"> </w:t>
      </w:r>
      <w:r w:rsidR="006A69D9">
        <w:t>(dates</w:t>
      </w:r>
      <w:r>
        <w:t xml:space="preserve"> ante- et po</w:t>
      </w:r>
      <w:r w:rsidR="000F0DDF">
        <w:t>st-</w:t>
      </w:r>
      <w:r>
        <w:t>quem</w:t>
      </w:r>
      <w:r w:rsidR="008D4C3F">
        <w:t>)</w:t>
      </w:r>
      <w:r w:rsidR="00EE6FEF">
        <w:t xml:space="preserve"> déterminant ainsi un espace temporel d’occupation</w:t>
      </w:r>
      <w:r>
        <w:t>.</w:t>
      </w:r>
      <w:r w:rsidR="006A69D9">
        <w:t xml:space="preserve"> </w:t>
      </w:r>
      <w:r>
        <w:t>Il faut cependant tenir en mémoire que ces monnaies ont probablement été perdues</w:t>
      </w:r>
      <w:r w:rsidR="00EE6FEF">
        <w:t xml:space="preserve"> progressivement</w:t>
      </w:r>
      <w:r>
        <w:t xml:space="preserve"> </w:t>
      </w:r>
      <w:r w:rsidR="00961304">
        <w:t>à des moments inconnus</w:t>
      </w:r>
      <w:r w:rsidR="00EE6FEF">
        <w:t xml:space="preserve"> durant cet espace temporel</w:t>
      </w:r>
      <w:r w:rsidR="006A69D9">
        <w:t xml:space="preserve">. </w:t>
      </w:r>
      <w:r w:rsidR="000F0DDF">
        <w:t xml:space="preserve">Mais il faut également savoir que les </w:t>
      </w:r>
      <w:r w:rsidR="00EE6FEF">
        <w:t>années</w:t>
      </w:r>
      <w:r w:rsidR="000F0DDF">
        <w:t xml:space="preserve"> ou les pièces sont en utilisation peuvent être différentes. Ainsi il se peut que telle ou telle monnaie </w:t>
      </w:r>
      <w:r w:rsidR="000F4DF7">
        <w:t>fût</w:t>
      </w:r>
      <w:r w:rsidR="0039367B">
        <w:t xml:space="preserve"> toujours</w:t>
      </w:r>
      <w:r w:rsidR="000F0DDF">
        <w:t xml:space="preserve"> en usage autorisé bien plus longtemps que la pièce la plus jeune. C’est à ce stade que l’étude du taux d’usure, ou de la durée de circulation, pièce par pièce</w:t>
      </w:r>
      <w:r w:rsidR="00DF609E">
        <w:t xml:space="preserve"> et type par type</w:t>
      </w:r>
      <w:r w:rsidR="000F0DDF">
        <w:t>, permet d’affiner les connaissances et donc la datation en matière d’occupation du site. Notons également que les monnaies de cuivre ou de bronze témoignent plus vraisemblablement d’un usage local voir régional. Les métaux nobles (or</w:t>
      </w:r>
      <w:r w:rsidR="008D4C3F">
        <w:t>,</w:t>
      </w:r>
      <w:r w:rsidR="000F0DDF">
        <w:t xml:space="preserve"> argent</w:t>
      </w:r>
      <w:r w:rsidR="000F4DF7">
        <w:t>, billon</w:t>
      </w:r>
      <w:r w:rsidR="000F0DDF">
        <w:t>)</w:t>
      </w:r>
      <w:r w:rsidR="008D4C3F">
        <w:t xml:space="preserve"> </w:t>
      </w:r>
      <w:r w:rsidR="000F0DDF">
        <w:t>quant à eux sont utilisés pour des activités plus conséquentes</w:t>
      </w:r>
      <w:r w:rsidR="008D4C3F">
        <w:t xml:space="preserve"> ou onéreuses</w:t>
      </w:r>
      <w:r w:rsidR="000F0DDF">
        <w:t xml:space="preserve"> voire transrégionales</w:t>
      </w:r>
      <w:r w:rsidR="00EE6FEF">
        <w:t xml:space="preserve">. A ceci s’ajoute l’intensité de </w:t>
      </w:r>
      <w:r w:rsidR="00EE6FEF">
        <w:lastRenderedPageBreak/>
        <w:t>circulation c’est - à-dire le</w:t>
      </w:r>
      <w:r w:rsidR="00DF609E">
        <w:t xml:space="preserve"> </w:t>
      </w:r>
      <w:r w:rsidR="00EE6FEF">
        <w:t xml:space="preserve">nombre de fois qu’une monnaie « change de main » en fonction des besoins : l’or circule moins vite que l’argent et le bronze. </w:t>
      </w:r>
      <w:r w:rsidR="00375734">
        <w:t xml:space="preserve">Notons également que l’éloignement entre l’atelier d’émission et le lieu de </w:t>
      </w:r>
      <w:r w:rsidR="0039367B">
        <w:t>perte n’est</w:t>
      </w:r>
      <w:r w:rsidR="00375734">
        <w:t xml:space="preserve"> pas un critère à prendre en compte : il est par trop dépendant du mode de « transport » </w:t>
      </w:r>
    </w:p>
    <w:p w14:paraId="5D020688" w14:textId="6F49CD36" w:rsidR="00AC5884" w:rsidRDefault="00AC5884" w:rsidP="00445891">
      <w:pPr>
        <w:pStyle w:val="Paragraphedeliste"/>
        <w:numPr>
          <w:ilvl w:val="0"/>
          <w:numId w:val="1"/>
        </w:numPr>
        <w:jc w:val="both"/>
      </w:pPr>
      <w:r>
        <w:t xml:space="preserve">Des </w:t>
      </w:r>
      <w:r w:rsidRPr="00794FA4">
        <w:rPr>
          <w:b/>
          <w:bCs/>
        </w:rPr>
        <w:t>monnaies enfouies avec leur contenant</w:t>
      </w:r>
      <w:r>
        <w:t>, que ce soit une bourse ou un</w:t>
      </w:r>
      <w:r w:rsidR="00F31279">
        <w:t>e</w:t>
      </w:r>
      <w:r>
        <w:t xml:space="preserve"> boîte</w:t>
      </w:r>
      <w:r w:rsidR="00F31279">
        <w:t xml:space="preserve"> (ou dissimulée dans un mur)</w:t>
      </w:r>
      <w:r w:rsidR="00EE6FEF">
        <w:t> :</w:t>
      </w:r>
      <w:r>
        <w:t xml:space="preserve"> deux cas de figure différents, avec comme point commun</w:t>
      </w:r>
      <w:r w:rsidR="00D7337B">
        <w:t xml:space="preserve"> le fait</w:t>
      </w:r>
      <w:r>
        <w:t xml:space="preserve"> que le propriétaire n’a pas récupéré son bien.</w:t>
      </w:r>
    </w:p>
    <w:p w14:paraId="7FABEF4B" w14:textId="495099D9" w:rsidR="0057190E" w:rsidRDefault="00AC5884" w:rsidP="00AC5884">
      <w:pPr>
        <w:pStyle w:val="Paragraphedeliste"/>
        <w:numPr>
          <w:ilvl w:val="1"/>
          <w:numId w:val="1"/>
        </w:numPr>
        <w:jc w:val="both"/>
      </w:pPr>
      <w:r>
        <w:t xml:space="preserve">La bourse contenant quelques monnaies peut être le témoignage d’une perte </w:t>
      </w:r>
      <w:r w:rsidR="0055087A">
        <w:t>accidentelle</w:t>
      </w:r>
      <w:r>
        <w:t>. Les dates ante-et post</w:t>
      </w:r>
      <w:r w:rsidR="00EE6FEF">
        <w:t>-</w:t>
      </w:r>
      <w:r>
        <w:t xml:space="preserve">quem peuvent fournir une </w:t>
      </w:r>
      <w:r w:rsidR="00EE6FEF">
        <w:t xml:space="preserve">estimation </w:t>
      </w:r>
      <w:r>
        <w:t>approximative de perte au plus tard (</w:t>
      </w:r>
      <w:r w:rsidR="00243D5D">
        <w:t>ante</w:t>
      </w:r>
      <w:r>
        <w:t xml:space="preserve">-quem). Dans ce cas de </w:t>
      </w:r>
      <w:r w:rsidR="00F31279">
        <w:t>figure</w:t>
      </w:r>
      <w:r>
        <w:t xml:space="preserve"> l’archéologue peut venir au secours du numismate lorsque les monnaies découvertes sont en corrélation avec la datation d’autres artéfacts proches.</w:t>
      </w:r>
    </w:p>
    <w:p w14:paraId="71C09F23" w14:textId="507227EC" w:rsidR="00F36AB6" w:rsidRDefault="0057190E" w:rsidP="00AC5884">
      <w:pPr>
        <w:pStyle w:val="Paragraphedeliste"/>
        <w:numPr>
          <w:ilvl w:val="1"/>
          <w:numId w:val="1"/>
        </w:numPr>
        <w:jc w:val="both"/>
      </w:pPr>
      <w:r>
        <w:t xml:space="preserve">Le cas de l’enfouissement volontaire </w:t>
      </w:r>
      <w:r w:rsidR="00A02C49">
        <w:t>(dissimulation</w:t>
      </w:r>
      <w:r>
        <w:t xml:space="preserve">) quant à lui </w:t>
      </w:r>
      <w:r w:rsidR="00C34343">
        <w:t>témoigne de la volonté de cacher</w:t>
      </w:r>
      <w:r w:rsidR="0039367B">
        <w:t xml:space="preserve">, </w:t>
      </w:r>
      <w:r w:rsidR="00A02C49">
        <w:t>tout en constituant</w:t>
      </w:r>
      <w:r w:rsidR="00243D5D">
        <w:t xml:space="preserve"> ainsi</w:t>
      </w:r>
      <w:r w:rsidR="00A02C49">
        <w:t xml:space="preserve"> une réserve de valeur (une des trois fonctions de la monnaie). A nouveau la date </w:t>
      </w:r>
      <w:r w:rsidR="00243D5D">
        <w:t>ante</w:t>
      </w:r>
      <w:r w:rsidR="00A02C49">
        <w:t>-quem</w:t>
      </w:r>
      <w:r w:rsidR="00AC5884">
        <w:t xml:space="preserve"> </w:t>
      </w:r>
      <w:r w:rsidR="00A02C49">
        <w:t xml:space="preserve">et compte tenu des périodes de circulation autorisées pour les différentes monnaies thésaurisées, peut donner une date d’enfouissement au plus tard. Il </w:t>
      </w:r>
      <w:r w:rsidR="00EE6FEF">
        <w:t>fa</w:t>
      </w:r>
      <w:r w:rsidR="00A02C49">
        <w:t>ut cependant être conscient que le contenu de ce dépôt caché peut avoir été constitué en plusieurs fois</w:t>
      </w:r>
      <w:r w:rsidR="00194012">
        <w:t>,</w:t>
      </w:r>
      <w:r w:rsidR="00A02C49">
        <w:t xml:space="preserve"> que l’or ou l’argent constituent des valeurs refuges </w:t>
      </w:r>
      <w:r w:rsidR="00311F96">
        <w:t>quel que</w:t>
      </w:r>
      <w:r w:rsidR="00A02C49">
        <w:t xml:space="preserve"> soit l’âge</w:t>
      </w:r>
      <w:r w:rsidR="00EC05C2">
        <w:t>,</w:t>
      </w:r>
      <w:r w:rsidR="0050133D">
        <w:t xml:space="preserve"> </w:t>
      </w:r>
      <w:r w:rsidR="00243D5D">
        <w:t xml:space="preserve">et </w:t>
      </w:r>
      <w:r w:rsidR="00194012">
        <w:t>également</w:t>
      </w:r>
      <w:r w:rsidR="0029275E">
        <w:t xml:space="preserve"> augmenté</w:t>
      </w:r>
      <w:r w:rsidR="00243D5D">
        <w:t xml:space="preserve"> ou modifié par prélèvements</w:t>
      </w:r>
      <w:r w:rsidR="0050133D">
        <w:t>. L’utilisation de dépôts enfouis est</w:t>
      </w:r>
      <w:r w:rsidR="0029275E">
        <w:t xml:space="preserve"> donc</w:t>
      </w:r>
      <w:r w:rsidR="0050133D">
        <w:t xml:space="preserve"> un outil de datation à prendre avec prudence et à mettre en relation avec le contexte historique puisque </w:t>
      </w:r>
      <w:r w:rsidR="003A7FDA">
        <w:t>guerres</w:t>
      </w:r>
      <w:r w:rsidR="0020714E">
        <w:t xml:space="preserve">, périodes troubles, </w:t>
      </w:r>
      <w:r w:rsidR="003A7FDA">
        <w:t>banditisme de grands chemins sont des incitateurs à la dissimulation.</w:t>
      </w:r>
      <w:r w:rsidR="00A02C49">
        <w:t xml:space="preserve">  </w:t>
      </w:r>
      <w:r w:rsidR="0029275E">
        <w:t>Par ailleurs, la profondeur d’enfouissement peut être telle qu’elle se situe dans une strate antérieure à celle de la constitution du dépôt (P Ex un dépôt dans un pui</w:t>
      </w:r>
      <w:r w:rsidR="009C0A07">
        <w:t>t</w:t>
      </w:r>
      <w:r w:rsidR="0029275E">
        <w:t xml:space="preserve">s asséché ou partiellement comblé).   </w:t>
      </w:r>
    </w:p>
    <w:p w14:paraId="44653E31" w14:textId="44E82793" w:rsidR="00AC5884" w:rsidRDefault="00F36AB6" w:rsidP="00F36AB6">
      <w:pPr>
        <w:pStyle w:val="Paragraphedeliste"/>
        <w:numPr>
          <w:ilvl w:val="0"/>
          <w:numId w:val="1"/>
        </w:numPr>
        <w:jc w:val="both"/>
      </w:pPr>
      <w:r>
        <w:t xml:space="preserve">Le dépôt votif constitue un cas particulier d’enfouissement volontaire, dans le sens ou les monnaies qui le constitue sont </w:t>
      </w:r>
      <w:r w:rsidR="0020714E">
        <w:t>des offrandes</w:t>
      </w:r>
      <w:r>
        <w:t xml:space="preserve"> de </w:t>
      </w:r>
      <w:r w:rsidR="0020714E">
        <w:t>pèlerins</w:t>
      </w:r>
      <w:r>
        <w:t xml:space="preserve"> dans un sanctuaire </w:t>
      </w:r>
      <w:r w:rsidR="009C0A07">
        <w:t>voire</w:t>
      </w:r>
      <w:r>
        <w:t xml:space="preserve"> un dépôt funéraire.</w:t>
      </w:r>
      <w:r w:rsidR="00A02C49">
        <w:t xml:space="preserve"> </w:t>
      </w:r>
      <w:r w:rsidR="00782E4B">
        <w:t xml:space="preserve">Si les dates ante- et post-quem sont des bons indicateurs il faut cependant se poser les questions suivantes ; les monnaies y déposées </w:t>
      </w:r>
      <w:r w:rsidR="009C0A07">
        <w:t>étaient-elles</w:t>
      </w:r>
      <w:r w:rsidR="00782E4B">
        <w:t xml:space="preserve"> en </w:t>
      </w:r>
      <w:r w:rsidR="00D935AB">
        <w:t>utilisation</w:t>
      </w:r>
      <w:r w:rsidR="00782E4B">
        <w:t xml:space="preserve"> ou décriées au moment du dépôts ? Ces dépôts furent ils constitués en une fois ou progressivement ?</w:t>
      </w:r>
    </w:p>
    <w:p w14:paraId="76461F6E" w14:textId="76B1AE75" w:rsidR="00E700FC" w:rsidRDefault="00E700FC" w:rsidP="00E700FC">
      <w:pPr>
        <w:jc w:val="both"/>
        <w:rPr>
          <w:b/>
          <w:bCs/>
        </w:rPr>
      </w:pPr>
      <w:r w:rsidRPr="00E700FC">
        <w:rPr>
          <w:b/>
          <w:bCs/>
        </w:rPr>
        <w:t>En résumé : la notion de trésor</w:t>
      </w:r>
    </w:p>
    <w:p w14:paraId="29C9893E" w14:textId="77777777" w:rsidR="00E700FC" w:rsidRDefault="00E700FC" w:rsidP="00491EDC">
      <w:pPr>
        <w:spacing w:after="0"/>
        <w:ind w:firstLine="708"/>
        <w:jc w:val="both"/>
      </w:pPr>
      <w:r w:rsidRPr="00E700FC">
        <w:t xml:space="preserve">Un trésor monétaire se compose d'au moins deux pièces de monnaies et forme un ensemble clos unique, d'où son intérêt scientifique. La recherche distingue trois catégories de trésors selon leur construction et leurs contextes historique et archéologique. </w:t>
      </w:r>
    </w:p>
    <w:p w14:paraId="124819CB" w14:textId="1B9D906A" w:rsidR="00E700FC" w:rsidRDefault="00E700FC" w:rsidP="00491EDC">
      <w:pPr>
        <w:spacing w:after="0"/>
        <w:jc w:val="both"/>
      </w:pPr>
      <w:r>
        <w:tab/>
      </w:r>
      <w:r w:rsidRPr="00E700FC">
        <w:rPr>
          <w:b/>
          <w:bCs/>
        </w:rPr>
        <w:t>Le trésor de circulation</w:t>
      </w:r>
      <w:r w:rsidRPr="00E700FC">
        <w:t>, constitué rapidement, qui permet d'offrir une image précise du numéraire circulant dans un espace donné au moment de son enfouissement</w:t>
      </w:r>
      <w:r>
        <w:t>.</w:t>
      </w:r>
    </w:p>
    <w:p w14:paraId="3F70FA5E" w14:textId="07ED3AE7" w:rsidR="000311C5" w:rsidRPr="00E700FC" w:rsidRDefault="000311C5" w:rsidP="00491EDC">
      <w:pPr>
        <w:spacing w:after="0"/>
        <w:jc w:val="both"/>
      </w:pPr>
      <w:r>
        <w:lastRenderedPageBreak/>
        <w:tab/>
      </w:r>
      <w:r w:rsidRPr="000311C5">
        <w:rPr>
          <w:b/>
          <w:bCs/>
        </w:rPr>
        <w:t>Le trésor de thésaurisation</w:t>
      </w:r>
      <w:r w:rsidRPr="000311C5">
        <w:t>, qui obéit à la volonté de préserver un capital monétaire ou un</w:t>
      </w:r>
      <w:r w:rsidR="00574D68">
        <w:t>e masse</w:t>
      </w:r>
      <w:r w:rsidRPr="000311C5">
        <w:t xml:space="preserve"> de métal précieux, une sorte de spéculation à usage ultérieur</w:t>
      </w:r>
      <w:r>
        <w:t>.</w:t>
      </w:r>
    </w:p>
    <w:p w14:paraId="33A2DFC6" w14:textId="6D8B1795" w:rsidR="00E700FC" w:rsidRDefault="00E700FC" w:rsidP="00491EDC">
      <w:pPr>
        <w:spacing w:after="0"/>
        <w:ind w:firstLine="708"/>
        <w:jc w:val="both"/>
        <w:rPr>
          <w:b/>
          <w:bCs/>
        </w:rPr>
      </w:pPr>
      <w:r w:rsidRPr="00E700FC">
        <w:rPr>
          <w:b/>
          <w:bCs/>
        </w:rPr>
        <w:t xml:space="preserve">Le trésor rituel, </w:t>
      </w:r>
      <w:r w:rsidRPr="000311C5">
        <w:t>qui correspond à un dépôt de fondation, à des jetés votifs de pèlerins dans un sanctuaire ou à un dépôt funéraire</w:t>
      </w:r>
      <w:r w:rsidR="000311C5">
        <w:t>.</w:t>
      </w:r>
      <w:r w:rsidRPr="00E700FC">
        <w:rPr>
          <w:b/>
          <w:bCs/>
        </w:rPr>
        <w:t xml:space="preserve"> </w:t>
      </w:r>
    </w:p>
    <w:p w14:paraId="450ACE69" w14:textId="77777777" w:rsidR="00BA75C6" w:rsidRDefault="00BA75C6" w:rsidP="00491EDC">
      <w:pPr>
        <w:spacing w:after="0"/>
        <w:ind w:firstLine="708"/>
        <w:jc w:val="both"/>
        <w:rPr>
          <w:b/>
          <w:bCs/>
        </w:rPr>
      </w:pPr>
    </w:p>
    <w:p w14:paraId="74D60F73" w14:textId="41A39079" w:rsidR="0046494E" w:rsidRDefault="0046494E" w:rsidP="0046494E">
      <w:pPr>
        <w:spacing w:after="0"/>
        <w:jc w:val="both"/>
        <w:rPr>
          <w:b/>
          <w:bCs/>
        </w:rPr>
      </w:pPr>
      <w:r>
        <w:rPr>
          <w:b/>
          <w:bCs/>
        </w:rPr>
        <w:t>L’usure d’une monnaie (le frai) : un marqueur temporel ?</w:t>
      </w:r>
    </w:p>
    <w:p w14:paraId="7F3B2D30" w14:textId="0F57EA0B" w:rsidR="0046494E" w:rsidRDefault="0046494E" w:rsidP="0046494E">
      <w:pPr>
        <w:spacing w:after="0"/>
        <w:ind w:firstLine="708"/>
        <w:jc w:val="both"/>
      </w:pPr>
      <w:r w:rsidRPr="0046494E">
        <w:t>Les trouvailles numismatiques, en particulier leur état physique, sur un site archéologique font partie du patrimoine historique du site exploré. En effet, de telles trouvailles permettent de comprendre le contexte de la découverte, la circulation des monnaies, la diffusion et l'usage particulier de certaines monnaies, les techniques de métallurgie et de frappe, l'interprétation de la répartition spatiale ou chronologique des monnaies dans un site, les usages sociaux des monnaies, les pratiques de thésaurisation.</w:t>
      </w:r>
    </w:p>
    <w:p w14:paraId="57FA92C7" w14:textId="172B1CF5" w:rsidR="00360150" w:rsidRDefault="00360150" w:rsidP="0046494E">
      <w:pPr>
        <w:spacing w:after="0"/>
        <w:ind w:firstLine="708"/>
        <w:jc w:val="both"/>
      </w:pPr>
      <w:r>
        <w:t>Une question se pose </w:t>
      </w:r>
      <w:r w:rsidR="003C2B27">
        <w:t>toutefois</w:t>
      </w:r>
      <w:r w:rsidR="00510896">
        <w:t xml:space="preserve"> </w:t>
      </w:r>
      <w:r>
        <w:t xml:space="preserve">: dans quelles mesures </w:t>
      </w:r>
      <w:r w:rsidR="00856EA8" w:rsidRPr="00856EA8">
        <w:t>l’usure des monnaies</w:t>
      </w:r>
      <w:r w:rsidR="00856EA8">
        <w:t xml:space="preserve"> (le fra</w:t>
      </w:r>
      <w:r w:rsidR="00255E80">
        <w:t xml:space="preserve">i </w:t>
      </w:r>
      <w:r w:rsidR="00BA75C6">
        <w:t xml:space="preserve">monétaire) </w:t>
      </w:r>
      <w:r w:rsidR="00BA75C6" w:rsidRPr="00856EA8">
        <w:t>en</w:t>
      </w:r>
      <w:r w:rsidR="00856EA8" w:rsidRPr="00856EA8">
        <w:t xml:space="preserve"> tant que témoin de la circulation monétaire et </w:t>
      </w:r>
      <w:r w:rsidR="00856EA8">
        <w:t xml:space="preserve">donc </w:t>
      </w:r>
      <w:r w:rsidR="00856EA8" w:rsidRPr="00856EA8">
        <w:t xml:space="preserve">d’occupation humaine, </w:t>
      </w:r>
      <w:r w:rsidR="00856EA8">
        <w:t xml:space="preserve">est-elle </w:t>
      </w:r>
      <w:r w:rsidR="00856EA8" w:rsidRPr="00856EA8">
        <w:t xml:space="preserve">un marqueur temporel de la circulation </w:t>
      </w:r>
      <w:r w:rsidR="00031753" w:rsidRPr="00856EA8">
        <w:t>monétaire</w:t>
      </w:r>
      <w:r w:rsidR="00031753">
        <w:t>,</w:t>
      </w:r>
      <w:r w:rsidR="00856EA8">
        <w:t xml:space="preserve"> permettant d’affiner le moment </w:t>
      </w:r>
      <w:r w:rsidR="00255E80">
        <w:t xml:space="preserve">ou la monnaie étudiée a arrêté de </w:t>
      </w:r>
      <w:r w:rsidR="00031753">
        <w:t>circuler</w:t>
      </w:r>
      <w:r w:rsidR="00255E80">
        <w:t> ? Notons ici que les lignes qui suivent ne concernent pas les monnaies découvertes dans les épaves marines ou fluviales.</w:t>
      </w:r>
      <w:r w:rsidR="00856EA8">
        <w:t xml:space="preserve"> </w:t>
      </w:r>
      <w:r w:rsidR="00255E80">
        <w:t xml:space="preserve">De même, il convient de préciser que l’approche synthétisée ci-dessous </w:t>
      </w:r>
      <w:r w:rsidR="00255E80" w:rsidRPr="00255E80">
        <w:t xml:space="preserve">ne vise pas à replacer </w:t>
      </w:r>
      <w:r w:rsidR="005B6A22">
        <w:t>« </w:t>
      </w:r>
      <w:r w:rsidR="00255E80" w:rsidRPr="00255E80">
        <w:t>l’état de surface</w:t>
      </w:r>
      <w:r w:rsidR="005B6A22">
        <w:t> »</w:t>
      </w:r>
      <w:r w:rsidR="00255E80" w:rsidRPr="00255E80">
        <w:t xml:space="preserve"> ou </w:t>
      </w:r>
      <w:r w:rsidR="005B6A22">
        <w:t>« </w:t>
      </w:r>
      <w:r w:rsidR="00255E80" w:rsidRPr="00255E80">
        <w:t>de conservation</w:t>
      </w:r>
      <w:r w:rsidR="005B6A22">
        <w:t> »</w:t>
      </w:r>
      <w:r w:rsidR="00255E80" w:rsidRPr="00255E80">
        <w:t xml:space="preserve"> des monnaies mises à jour sur un site dans les différentes échelles</w:t>
      </w:r>
      <w:r w:rsidR="008A15D2">
        <w:t xml:space="preserve"> numismatiques</w:t>
      </w:r>
      <w:r w:rsidR="00255E80" w:rsidRPr="00255E80">
        <w:t xml:space="preserve"> afférentes</w:t>
      </w:r>
      <w:r w:rsidR="00255E80">
        <w:t xml:space="preserve"> : </w:t>
      </w:r>
      <w:r w:rsidR="00255E80" w:rsidRPr="00255E80">
        <w:t>ces dernières sont destinées à justifier un prix demandé pour une monnaie isolée et hors contexte.</w:t>
      </w:r>
      <w:r w:rsidR="00031753">
        <w:t xml:space="preserve"> </w:t>
      </w:r>
      <w:r w:rsidR="00031753" w:rsidRPr="00031753">
        <w:t xml:space="preserve">L’intérêt de cette problématique qui uni archéologues et numismates, est de fournir un élément de datation, ou sa confirmation, à la couche archéologique dans laquelle la ou les monnaie(s) est (sont) trouvée(s), en d’autres termes, la pièce étudiée fut perdue ou enterrée sur ou dans la couche archéologique explorée après avoir circulé durant x années. Par ailleurs, cette méthode pourrait également contribuer indirectement à dater </w:t>
      </w:r>
      <w:r w:rsidR="00910CB5">
        <w:t xml:space="preserve">très </w:t>
      </w:r>
      <w:r w:rsidR="00031753" w:rsidRPr="00031753">
        <w:t>approximativement des remblais qui, par essence, sont au-dessus de couches plus récentes, mais c’est à prendre avec grande prudence.</w:t>
      </w:r>
    </w:p>
    <w:p w14:paraId="479FB7EF" w14:textId="4E2E3053" w:rsidR="00255E80" w:rsidRDefault="00255E80" w:rsidP="0046494E">
      <w:pPr>
        <w:spacing w:after="0"/>
        <w:ind w:firstLine="708"/>
        <w:jc w:val="both"/>
      </w:pPr>
      <w:r>
        <w:t xml:space="preserve">Mr Jean-Marc Doyen, archéologue s’est penché sur ce problème et a développé une matrice </w:t>
      </w:r>
      <w:r w:rsidR="00BA75C6">
        <w:t>établissant un</w:t>
      </w:r>
      <w:r>
        <w:t xml:space="preserve"> p</w:t>
      </w:r>
      <w:r w:rsidR="00031753">
        <w:t xml:space="preserve">arallèle </w:t>
      </w:r>
      <w:r w:rsidR="00031753" w:rsidRPr="00031753">
        <w:t>entre le degré d’usure (sur une échelle de 0 à 10) et l’âge de la monnaie au moment de la perte</w:t>
      </w:r>
      <w:r w:rsidR="00031753">
        <w:t>.</w:t>
      </w:r>
      <w:r w:rsidR="00031753">
        <w:rPr>
          <w:rStyle w:val="Appelnotedebasdep"/>
        </w:rPr>
        <w:footnoteReference w:id="2"/>
      </w:r>
    </w:p>
    <w:p w14:paraId="5E3C2771" w14:textId="77777777" w:rsidR="00533CAA" w:rsidRDefault="00533CAA" w:rsidP="0046494E">
      <w:pPr>
        <w:spacing w:after="0"/>
        <w:ind w:firstLine="708"/>
        <w:jc w:val="both"/>
      </w:pPr>
    </w:p>
    <w:tbl>
      <w:tblPr>
        <w:tblStyle w:val="Grilledutableau"/>
        <w:tblW w:w="0" w:type="auto"/>
        <w:tblLook w:val="04A0" w:firstRow="1" w:lastRow="0" w:firstColumn="1" w:lastColumn="0" w:noHBand="0" w:noVBand="1"/>
      </w:tblPr>
      <w:tblGrid>
        <w:gridCol w:w="698"/>
        <w:gridCol w:w="300"/>
        <w:gridCol w:w="424"/>
        <w:gridCol w:w="396"/>
        <w:gridCol w:w="424"/>
        <w:gridCol w:w="299"/>
        <w:gridCol w:w="424"/>
        <w:gridCol w:w="358"/>
        <w:gridCol w:w="424"/>
        <w:gridCol w:w="358"/>
        <w:gridCol w:w="424"/>
        <w:gridCol w:w="358"/>
        <w:gridCol w:w="424"/>
        <w:gridCol w:w="358"/>
        <w:gridCol w:w="424"/>
        <w:gridCol w:w="358"/>
        <w:gridCol w:w="424"/>
        <w:gridCol w:w="358"/>
        <w:gridCol w:w="424"/>
        <w:gridCol w:w="358"/>
        <w:gridCol w:w="396"/>
        <w:gridCol w:w="429"/>
      </w:tblGrid>
      <w:tr w:rsidR="00533CAA" w:rsidRPr="00533CAA" w14:paraId="07FF827D" w14:textId="77777777" w:rsidTr="00691165">
        <w:tc>
          <w:tcPr>
            <w:tcW w:w="698" w:type="dxa"/>
          </w:tcPr>
          <w:p w14:paraId="138726BF" w14:textId="77777777" w:rsidR="00533CAA" w:rsidRPr="00533CAA" w:rsidRDefault="00533CAA" w:rsidP="00533CAA">
            <w:pPr>
              <w:spacing w:line="259" w:lineRule="auto"/>
              <w:rPr>
                <w:b/>
                <w:bCs/>
                <w:sz w:val="14"/>
                <w:szCs w:val="14"/>
              </w:rPr>
            </w:pPr>
            <w:r w:rsidRPr="00533CAA">
              <w:rPr>
                <w:b/>
                <w:bCs/>
                <w:sz w:val="14"/>
                <w:szCs w:val="14"/>
              </w:rPr>
              <w:t>Indices</w:t>
            </w:r>
          </w:p>
        </w:tc>
        <w:tc>
          <w:tcPr>
            <w:tcW w:w="300" w:type="dxa"/>
          </w:tcPr>
          <w:p w14:paraId="42E63BB0" w14:textId="77777777" w:rsidR="00533CAA" w:rsidRPr="00533CAA" w:rsidRDefault="00533CAA" w:rsidP="00533CAA">
            <w:pPr>
              <w:spacing w:line="259" w:lineRule="auto"/>
              <w:rPr>
                <w:b/>
                <w:bCs/>
                <w:sz w:val="14"/>
                <w:szCs w:val="14"/>
              </w:rPr>
            </w:pPr>
            <w:r w:rsidRPr="00533CAA">
              <w:rPr>
                <w:b/>
                <w:bCs/>
                <w:sz w:val="14"/>
                <w:szCs w:val="14"/>
              </w:rPr>
              <w:t>0</w:t>
            </w:r>
          </w:p>
        </w:tc>
        <w:tc>
          <w:tcPr>
            <w:tcW w:w="424" w:type="dxa"/>
          </w:tcPr>
          <w:p w14:paraId="158CB8AA" w14:textId="77777777" w:rsidR="00533CAA" w:rsidRPr="00533CAA" w:rsidRDefault="00533CAA" w:rsidP="00533CAA">
            <w:pPr>
              <w:spacing w:line="259" w:lineRule="auto"/>
              <w:rPr>
                <w:b/>
                <w:bCs/>
                <w:sz w:val="14"/>
                <w:szCs w:val="14"/>
              </w:rPr>
            </w:pPr>
            <w:r w:rsidRPr="00533CAA">
              <w:rPr>
                <w:b/>
                <w:bCs/>
                <w:sz w:val="14"/>
                <w:szCs w:val="14"/>
              </w:rPr>
              <w:t>0.5</w:t>
            </w:r>
          </w:p>
        </w:tc>
        <w:tc>
          <w:tcPr>
            <w:tcW w:w="396" w:type="dxa"/>
          </w:tcPr>
          <w:p w14:paraId="5295108C" w14:textId="77777777" w:rsidR="00533CAA" w:rsidRPr="00533CAA" w:rsidRDefault="00533CAA" w:rsidP="00533CAA">
            <w:pPr>
              <w:spacing w:line="259" w:lineRule="auto"/>
              <w:rPr>
                <w:b/>
                <w:bCs/>
                <w:sz w:val="14"/>
                <w:szCs w:val="14"/>
              </w:rPr>
            </w:pPr>
            <w:r w:rsidRPr="00533CAA">
              <w:rPr>
                <w:b/>
                <w:bCs/>
                <w:sz w:val="14"/>
                <w:szCs w:val="14"/>
              </w:rPr>
              <w:t>1</w:t>
            </w:r>
          </w:p>
        </w:tc>
        <w:tc>
          <w:tcPr>
            <w:tcW w:w="424" w:type="dxa"/>
          </w:tcPr>
          <w:p w14:paraId="3BA8ACF1" w14:textId="77777777" w:rsidR="00533CAA" w:rsidRPr="00533CAA" w:rsidRDefault="00533CAA" w:rsidP="00533CAA">
            <w:pPr>
              <w:spacing w:line="259" w:lineRule="auto"/>
              <w:rPr>
                <w:b/>
                <w:bCs/>
                <w:sz w:val="14"/>
                <w:szCs w:val="14"/>
              </w:rPr>
            </w:pPr>
            <w:r w:rsidRPr="00533CAA">
              <w:rPr>
                <w:b/>
                <w:bCs/>
                <w:sz w:val="14"/>
                <w:szCs w:val="14"/>
              </w:rPr>
              <w:t>1.5</w:t>
            </w:r>
          </w:p>
        </w:tc>
        <w:tc>
          <w:tcPr>
            <w:tcW w:w="299" w:type="dxa"/>
          </w:tcPr>
          <w:p w14:paraId="50FF6A79" w14:textId="77777777" w:rsidR="00533CAA" w:rsidRPr="00533CAA" w:rsidRDefault="00533CAA" w:rsidP="00533CAA">
            <w:pPr>
              <w:spacing w:line="259" w:lineRule="auto"/>
              <w:rPr>
                <w:b/>
                <w:bCs/>
                <w:sz w:val="14"/>
                <w:szCs w:val="14"/>
              </w:rPr>
            </w:pPr>
            <w:r w:rsidRPr="00533CAA">
              <w:rPr>
                <w:b/>
                <w:bCs/>
                <w:sz w:val="14"/>
                <w:szCs w:val="14"/>
              </w:rPr>
              <w:t>2</w:t>
            </w:r>
          </w:p>
        </w:tc>
        <w:tc>
          <w:tcPr>
            <w:tcW w:w="424" w:type="dxa"/>
          </w:tcPr>
          <w:p w14:paraId="71A48463" w14:textId="77777777" w:rsidR="00533CAA" w:rsidRPr="00533CAA" w:rsidRDefault="00533CAA" w:rsidP="00533CAA">
            <w:pPr>
              <w:spacing w:line="259" w:lineRule="auto"/>
              <w:rPr>
                <w:b/>
                <w:bCs/>
                <w:sz w:val="14"/>
                <w:szCs w:val="14"/>
              </w:rPr>
            </w:pPr>
            <w:r w:rsidRPr="00533CAA">
              <w:rPr>
                <w:b/>
                <w:bCs/>
                <w:sz w:val="14"/>
                <w:szCs w:val="14"/>
              </w:rPr>
              <w:t>2.5</w:t>
            </w:r>
          </w:p>
        </w:tc>
        <w:tc>
          <w:tcPr>
            <w:tcW w:w="358" w:type="dxa"/>
          </w:tcPr>
          <w:p w14:paraId="4F77C166" w14:textId="77777777" w:rsidR="00533CAA" w:rsidRPr="00533CAA" w:rsidRDefault="00533CAA" w:rsidP="00533CAA">
            <w:pPr>
              <w:spacing w:line="259" w:lineRule="auto"/>
              <w:rPr>
                <w:b/>
                <w:bCs/>
                <w:sz w:val="14"/>
                <w:szCs w:val="14"/>
              </w:rPr>
            </w:pPr>
            <w:r w:rsidRPr="00533CAA">
              <w:rPr>
                <w:b/>
                <w:bCs/>
                <w:sz w:val="14"/>
                <w:szCs w:val="14"/>
              </w:rPr>
              <w:t>3</w:t>
            </w:r>
          </w:p>
        </w:tc>
        <w:tc>
          <w:tcPr>
            <w:tcW w:w="424" w:type="dxa"/>
          </w:tcPr>
          <w:p w14:paraId="40435493" w14:textId="77777777" w:rsidR="00533CAA" w:rsidRPr="00533CAA" w:rsidRDefault="00533CAA" w:rsidP="00533CAA">
            <w:pPr>
              <w:spacing w:line="259" w:lineRule="auto"/>
              <w:rPr>
                <w:b/>
                <w:bCs/>
                <w:sz w:val="14"/>
                <w:szCs w:val="14"/>
              </w:rPr>
            </w:pPr>
            <w:r w:rsidRPr="00533CAA">
              <w:rPr>
                <w:b/>
                <w:bCs/>
                <w:sz w:val="14"/>
                <w:szCs w:val="14"/>
              </w:rPr>
              <w:t>3.5</w:t>
            </w:r>
          </w:p>
        </w:tc>
        <w:tc>
          <w:tcPr>
            <w:tcW w:w="358" w:type="dxa"/>
          </w:tcPr>
          <w:p w14:paraId="7210622B" w14:textId="77777777" w:rsidR="00533CAA" w:rsidRPr="00533CAA" w:rsidRDefault="00533CAA" w:rsidP="00533CAA">
            <w:pPr>
              <w:spacing w:line="259" w:lineRule="auto"/>
              <w:rPr>
                <w:b/>
                <w:bCs/>
                <w:sz w:val="14"/>
                <w:szCs w:val="14"/>
              </w:rPr>
            </w:pPr>
            <w:r w:rsidRPr="00533CAA">
              <w:rPr>
                <w:b/>
                <w:bCs/>
                <w:sz w:val="14"/>
                <w:szCs w:val="14"/>
              </w:rPr>
              <w:t>4</w:t>
            </w:r>
          </w:p>
        </w:tc>
        <w:tc>
          <w:tcPr>
            <w:tcW w:w="424" w:type="dxa"/>
          </w:tcPr>
          <w:p w14:paraId="7992F27F" w14:textId="77777777" w:rsidR="00533CAA" w:rsidRPr="00533CAA" w:rsidRDefault="00533CAA" w:rsidP="00533CAA">
            <w:pPr>
              <w:spacing w:line="259" w:lineRule="auto"/>
              <w:rPr>
                <w:b/>
                <w:bCs/>
                <w:sz w:val="14"/>
                <w:szCs w:val="14"/>
              </w:rPr>
            </w:pPr>
            <w:r w:rsidRPr="00533CAA">
              <w:rPr>
                <w:b/>
                <w:bCs/>
                <w:sz w:val="14"/>
                <w:szCs w:val="14"/>
              </w:rPr>
              <w:t>4.5</w:t>
            </w:r>
          </w:p>
        </w:tc>
        <w:tc>
          <w:tcPr>
            <w:tcW w:w="358" w:type="dxa"/>
          </w:tcPr>
          <w:p w14:paraId="156DDB1D" w14:textId="77777777" w:rsidR="00533CAA" w:rsidRPr="00533CAA" w:rsidRDefault="00533CAA" w:rsidP="00533CAA">
            <w:pPr>
              <w:spacing w:line="259" w:lineRule="auto"/>
              <w:rPr>
                <w:b/>
                <w:bCs/>
                <w:sz w:val="14"/>
                <w:szCs w:val="14"/>
              </w:rPr>
            </w:pPr>
            <w:r w:rsidRPr="00533CAA">
              <w:rPr>
                <w:b/>
                <w:bCs/>
                <w:sz w:val="14"/>
                <w:szCs w:val="14"/>
              </w:rPr>
              <w:t>5</w:t>
            </w:r>
          </w:p>
        </w:tc>
        <w:tc>
          <w:tcPr>
            <w:tcW w:w="424" w:type="dxa"/>
          </w:tcPr>
          <w:p w14:paraId="327BAD72" w14:textId="77777777" w:rsidR="00533CAA" w:rsidRPr="00533CAA" w:rsidRDefault="00533CAA" w:rsidP="00533CAA">
            <w:pPr>
              <w:spacing w:line="259" w:lineRule="auto"/>
              <w:rPr>
                <w:b/>
                <w:bCs/>
                <w:sz w:val="14"/>
                <w:szCs w:val="14"/>
              </w:rPr>
            </w:pPr>
            <w:r w:rsidRPr="00533CAA">
              <w:rPr>
                <w:b/>
                <w:bCs/>
                <w:sz w:val="14"/>
                <w:szCs w:val="14"/>
              </w:rPr>
              <w:t>5.5</w:t>
            </w:r>
          </w:p>
        </w:tc>
        <w:tc>
          <w:tcPr>
            <w:tcW w:w="358" w:type="dxa"/>
          </w:tcPr>
          <w:p w14:paraId="4DB9B3F2" w14:textId="77777777" w:rsidR="00533CAA" w:rsidRPr="00533CAA" w:rsidRDefault="00533CAA" w:rsidP="00533CAA">
            <w:pPr>
              <w:spacing w:line="259" w:lineRule="auto"/>
              <w:rPr>
                <w:b/>
                <w:bCs/>
                <w:sz w:val="14"/>
                <w:szCs w:val="14"/>
              </w:rPr>
            </w:pPr>
            <w:r w:rsidRPr="00533CAA">
              <w:rPr>
                <w:b/>
                <w:bCs/>
                <w:sz w:val="14"/>
                <w:szCs w:val="14"/>
              </w:rPr>
              <w:t>6</w:t>
            </w:r>
          </w:p>
        </w:tc>
        <w:tc>
          <w:tcPr>
            <w:tcW w:w="424" w:type="dxa"/>
          </w:tcPr>
          <w:p w14:paraId="68393A55" w14:textId="77777777" w:rsidR="00533CAA" w:rsidRPr="00533CAA" w:rsidRDefault="00533CAA" w:rsidP="00533CAA">
            <w:pPr>
              <w:spacing w:line="259" w:lineRule="auto"/>
              <w:rPr>
                <w:b/>
                <w:bCs/>
                <w:sz w:val="14"/>
                <w:szCs w:val="14"/>
              </w:rPr>
            </w:pPr>
            <w:r w:rsidRPr="00533CAA">
              <w:rPr>
                <w:b/>
                <w:bCs/>
                <w:sz w:val="14"/>
                <w:szCs w:val="14"/>
              </w:rPr>
              <w:t>6.5</w:t>
            </w:r>
          </w:p>
        </w:tc>
        <w:tc>
          <w:tcPr>
            <w:tcW w:w="358" w:type="dxa"/>
          </w:tcPr>
          <w:p w14:paraId="767FAC89" w14:textId="77777777" w:rsidR="00533CAA" w:rsidRPr="00533CAA" w:rsidRDefault="00533CAA" w:rsidP="00533CAA">
            <w:pPr>
              <w:spacing w:line="259" w:lineRule="auto"/>
              <w:rPr>
                <w:b/>
                <w:bCs/>
                <w:sz w:val="14"/>
                <w:szCs w:val="14"/>
              </w:rPr>
            </w:pPr>
            <w:r w:rsidRPr="00533CAA">
              <w:rPr>
                <w:b/>
                <w:bCs/>
                <w:sz w:val="14"/>
                <w:szCs w:val="14"/>
              </w:rPr>
              <w:t>7</w:t>
            </w:r>
          </w:p>
        </w:tc>
        <w:tc>
          <w:tcPr>
            <w:tcW w:w="424" w:type="dxa"/>
          </w:tcPr>
          <w:p w14:paraId="1B0B05EC" w14:textId="77777777" w:rsidR="00533CAA" w:rsidRPr="00533CAA" w:rsidRDefault="00533CAA" w:rsidP="00533CAA">
            <w:pPr>
              <w:spacing w:line="259" w:lineRule="auto"/>
              <w:rPr>
                <w:b/>
                <w:bCs/>
                <w:sz w:val="14"/>
                <w:szCs w:val="14"/>
              </w:rPr>
            </w:pPr>
            <w:r w:rsidRPr="00533CAA">
              <w:rPr>
                <w:b/>
                <w:bCs/>
                <w:sz w:val="14"/>
                <w:szCs w:val="14"/>
              </w:rPr>
              <w:t>7.5</w:t>
            </w:r>
          </w:p>
        </w:tc>
        <w:tc>
          <w:tcPr>
            <w:tcW w:w="358" w:type="dxa"/>
          </w:tcPr>
          <w:p w14:paraId="10EEF5D8" w14:textId="77777777" w:rsidR="00533CAA" w:rsidRPr="00533CAA" w:rsidRDefault="00533CAA" w:rsidP="00533CAA">
            <w:pPr>
              <w:spacing w:line="259" w:lineRule="auto"/>
              <w:rPr>
                <w:b/>
                <w:bCs/>
                <w:sz w:val="14"/>
                <w:szCs w:val="14"/>
              </w:rPr>
            </w:pPr>
            <w:r w:rsidRPr="00533CAA">
              <w:rPr>
                <w:b/>
                <w:bCs/>
                <w:sz w:val="14"/>
                <w:szCs w:val="14"/>
              </w:rPr>
              <w:t>8</w:t>
            </w:r>
          </w:p>
        </w:tc>
        <w:tc>
          <w:tcPr>
            <w:tcW w:w="424" w:type="dxa"/>
          </w:tcPr>
          <w:p w14:paraId="3A5A2168" w14:textId="77777777" w:rsidR="00533CAA" w:rsidRPr="00533CAA" w:rsidRDefault="00533CAA" w:rsidP="00533CAA">
            <w:pPr>
              <w:spacing w:line="259" w:lineRule="auto"/>
              <w:rPr>
                <w:b/>
                <w:bCs/>
                <w:sz w:val="14"/>
                <w:szCs w:val="14"/>
              </w:rPr>
            </w:pPr>
            <w:r w:rsidRPr="00533CAA">
              <w:rPr>
                <w:b/>
                <w:bCs/>
                <w:sz w:val="14"/>
                <w:szCs w:val="14"/>
              </w:rPr>
              <w:t>8.5</w:t>
            </w:r>
          </w:p>
        </w:tc>
        <w:tc>
          <w:tcPr>
            <w:tcW w:w="358" w:type="dxa"/>
          </w:tcPr>
          <w:p w14:paraId="2EC066A1" w14:textId="77777777" w:rsidR="00533CAA" w:rsidRPr="00533CAA" w:rsidRDefault="00533CAA" w:rsidP="00533CAA">
            <w:pPr>
              <w:spacing w:line="259" w:lineRule="auto"/>
              <w:rPr>
                <w:b/>
                <w:bCs/>
                <w:sz w:val="14"/>
                <w:szCs w:val="14"/>
              </w:rPr>
            </w:pPr>
            <w:r w:rsidRPr="00533CAA">
              <w:rPr>
                <w:b/>
                <w:bCs/>
                <w:sz w:val="14"/>
                <w:szCs w:val="14"/>
              </w:rPr>
              <w:t>9</w:t>
            </w:r>
          </w:p>
        </w:tc>
        <w:tc>
          <w:tcPr>
            <w:tcW w:w="396" w:type="dxa"/>
          </w:tcPr>
          <w:p w14:paraId="262DEBC8" w14:textId="77777777" w:rsidR="00533CAA" w:rsidRPr="00533CAA" w:rsidRDefault="00533CAA" w:rsidP="00533CAA">
            <w:pPr>
              <w:spacing w:line="259" w:lineRule="auto"/>
              <w:rPr>
                <w:b/>
                <w:bCs/>
                <w:sz w:val="14"/>
                <w:szCs w:val="14"/>
              </w:rPr>
            </w:pPr>
            <w:r w:rsidRPr="00533CAA">
              <w:rPr>
                <w:b/>
                <w:bCs/>
                <w:sz w:val="14"/>
                <w:szCs w:val="14"/>
              </w:rPr>
              <w:t>9.5</w:t>
            </w:r>
          </w:p>
        </w:tc>
        <w:tc>
          <w:tcPr>
            <w:tcW w:w="429" w:type="dxa"/>
          </w:tcPr>
          <w:p w14:paraId="4ABB2176" w14:textId="77777777" w:rsidR="00533CAA" w:rsidRPr="00533CAA" w:rsidRDefault="00533CAA" w:rsidP="00533CAA">
            <w:pPr>
              <w:spacing w:line="259" w:lineRule="auto"/>
              <w:rPr>
                <w:b/>
                <w:bCs/>
                <w:sz w:val="14"/>
                <w:szCs w:val="14"/>
              </w:rPr>
            </w:pPr>
            <w:r w:rsidRPr="00533CAA">
              <w:rPr>
                <w:b/>
                <w:bCs/>
                <w:sz w:val="14"/>
                <w:szCs w:val="14"/>
              </w:rPr>
              <w:t>10</w:t>
            </w:r>
          </w:p>
        </w:tc>
      </w:tr>
      <w:tr w:rsidR="00533CAA" w:rsidRPr="00533CAA" w14:paraId="2BBBCBD1" w14:textId="77777777" w:rsidTr="00691165">
        <w:tc>
          <w:tcPr>
            <w:tcW w:w="698" w:type="dxa"/>
          </w:tcPr>
          <w:p w14:paraId="703DA7FC" w14:textId="77777777" w:rsidR="00533CAA" w:rsidRPr="00533CAA" w:rsidRDefault="00533CAA" w:rsidP="00533CAA">
            <w:pPr>
              <w:spacing w:line="259" w:lineRule="auto"/>
              <w:rPr>
                <w:b/>
                <w:bCs/>
                <w:sz w:val="14"/>
                <w:szCs w:val="14"/>
              </w:rPr>
            </w:pPr>
            <w:r w:rsidRPr="00533CAA">
              <w:rPr>
                <w:b/>
                <w:bCs/>
                <w:sz w:val="14"/>
                <w:szCs w:val="14"/>
              </w:rPr>
              <w:t>X ans</w:t>
            </w:r>
          </w:p>
        </w:tc>
        <w:tc>
          <w:tcPr>
            <w:tcW w:w="300" w:type="dxa"/>
          </w:tcPr>
          <w:p w14:paraId="08625FB1" w14:textId="77777777" w:rsidR="00533CAA" w:rsidRPr="00533CAA" w:rsidRDefault="00533CAA" w:rsidP="00533CAA">
            <w:pPr>
              <w:spacing w:line="259" w:lineRule="auto"/>
              <w:rPr>
                <w:b/>
                <w:bCs/>
                <w:sz w:val="14"/>
                <w:szCs w:val="14"/>
              </w:rPr>
            </w:pPr>
            <w:r w:rsidRPr="00533CAA">
              <w:rPr>
                <w:b/>
                <w:bCs/>
                <w:sz w:val="14"/>
                <w:szCs w:val="14"/>
              </w:rPr>
              <w:t>0</w:t>
            </w:r>
          </w:p>
        </w:tc>
        <w:tc>
          <w:tcPr>
            <w:tcW w:w="424" w:type="dxa"/>
          </w:tcPr>
          <w:p w14:paraId="40FDC791" w14:textId="77777777" w:rsidR="00533CAA" w:rsidRPr="00533CAA" w:rsidRDefault="00533CAA" w:rsidP="00533CAA">
            <w:pPr>
              <w:spacing w:line="259" w:lineRule="auto"/>
              <w:rPr>
                <w:b/>
                <w:bCs/>
                <w:sz w:val="14"/>
                <w:szCs w:val="14"/>
              </w:rPr>
            </w:pPr>
            <w:r w:rsidRPr="00533CAA">
              <w:rPr>
                <w:b/>
                <w:bCs/>
                <w:sz w:val="14"/>
                <w:szCs w:val="14"/>
              </w:rPr>
              <w:t>1</w:t>
            </w:r>
          </w:p>
        </w:tc>
        <w:tc>
          <w:tcPr>
            <w:tcW w:w="396" w:type="dxa"/>
          </w:tcPr>
          <w:p w14:paraId="62DDDD57" w14:textId="77777777" w:rsidR="00533CAA" w:rsidRPr="00533CAA" w:rsidRDefault="00533CAA" w:rsidP="00533CAA">
            <w:pPr>
              <w:spacing w:line="259" w:lineRule="auto"/>
              <w:rPr>
                <w:b/>
                <w:bCs/>
                <w:sz w:val="14"/>
                <w:szCs w:val="14"/>
              </w:rPr>
            </w:pPr>
            <w:r w:rsidRPr="00533CAA">
              <w:rPr>
                <w:b/>
                <w:bCs/>
                <w:sz w:val="14"/>
                <w:szCs w:val="14"/>
              </w:rPr>
              <w:t>1.5</w:t>
            </w:r>
          </w:p>
        </w:tc>
        <w:tc>
          <w:tcPr>
            <w:tcW w:w="424" w:type="dxa"/>
          </w:tcPr>
          <w:p w14:paraId="7481405F" w14:textId="77777777" w:rsidR="00533CAA" w:rsidRPr="00533CAA" w:rsidRDefault="00533CAA" w:rsidP="00533CAA">
            <w:pPr>
              <w:spacing w:line="259" w:lineRule="auto"/>
              <w:rPr>
                <w:b/>
                <w:bCs/>
                <w:sz w:val="14"/>
                <w:szCs w:val="14"/>
              </w:rPr>
            </w:pPr>
            <w:r w:rsidRPr="00533CAA">
              <w:rPr>
                <w:b/>
                <w:bCs/>
                <w:sz w:val="14"/>
                <w:szCs w:val="14"/>
              </w:rPr>
              <w:t xml:space="preserve">1.5 </w:t>
            </w:r>
          </w:p>
        </w:tc>
        <w:tc>
          <w:tcPr>
            <w:tcW w:w="299" w:type="dxa"/>
          </w:tcPr>
          <w:p w14:paraId="1D8F80B0" w14:textId="77777777" w:rsidR="00533CAA" w:rsidRPr="00533CAA" w:rsidRDefault="00533CAA" w:rsidP="00533CAA">
            <w:pPr>
              <w:spacing w:line="259" w:lineRule="auto"/>
              <w:rPr>
                <w:b/>
                <w:bCs/>
                <w:sz w:val="14"/>
                <w:szCs w:val="14"/>
              </w:rPr>
            </w:pPr>
            <w:r w:rsidRPr="00533CAA">
              <w:rPr>
                <w:b/>
                <w:bCs/>
                <w:sz w:val="14"/>
                <w:szCs w:val="14"/>
              </w:rPr>
              <w:t>5</w:t>
            </w:r>
          </w:p>
        </w:tc>
        <w:tc>
          <w:tcPr>
            <w:tcW w:w="424" w:type="dxa"/>
          </w:tcPr>
          <w:p w14:paraId="2548A34D" w14:textId="77777777" w:rsidR="00533CAA" w:rsidRPr="00533CAA" w:rsidRDefault="00533CAA" w:rsidP="00533CAA">
            <w:pPr>
              <w:spacing w:line="259" w:lineRule="auto"/>
              <w:rPr>
                <w:b/>
                <w:bCs/>
                <w:sz w:val="14"/>
                <w:szCs w:val="14"/>
              </w:rPr>
            </w:pPr>
            <w:r w:rsidRPr="00533CAA">
              <w:rPr>
                <w:b/>
                <w:bCs/>
                <w:sz w:val="14"/>
                <w:szCs w:val="14"/>
              </w:rPr>
              <w:t>12</w:t>
            </w:r>
          </w:p>
        </w:tc>
        <w:tc>
          <w:tcPr>
            <w:tcW w:w="358" w:type="dxa"/>
          </w:tcPr>
          <w:p w14:paraId="6EAD7FC3" w14:textId="77777777" w:rsidR="00533CAA" w:rsidRPr="00533CAA" w:rsidRDefault="00533CAA" w:rsidP="00533CAA">
            <w:pPr>
              <w:spacing w:line="259" w:lineRule="auto"/>
              <w:rPr>
                <w:b/>
                <w:bCs/>
                <w:sz w:val="14"/>
                <w:szCs w:val="14"/>
              </w:rPr>
            </w:pPr>
            <w:r w:rsidRPr="00533CAA">
              <w:rPr>
                <w:b/>
                <w:bCs/>
                <w:sz w:val="14"/>
                <w:szCs w:val="14"/>
              </w:rPr>
              <w:t>18</w:t>
            </w:r>
          </w:p>
        </w:tc>
        <w:tc>
          <w:tcPr>
            <w:tcW w:w="424" w:type="dxa"/>
          </w:tcPr>
          <w:p w14:paraId="110B3DED" w14:textId="77777777" w:rsidR="00533CAA" w:rsidRPr="00533CAA" w:rsidRDefault="00533CAA" w:rsidP="00533CAA">
            <w:pPr>
              <w:spacing w:line="259" w:lineRule="auto"/>
              <w:rPr>
                <w:b/>
                <w:bCs/>
                <w:sz w:val="14"/>
                <w:szCs w:val="14"/>
              </w:rPr>
            </w:pPr>
            <w:r w:rsidRPr="00533CAA">
              <w:rPr>
                <w:b/>
                <w:bCs/>
                <w:sz w:val="14"/>
                <w:szCs w:val="14"/>
              </w:rPr>
              <w:t>20</w:t>
            </w:r>
          </w:p>
        </w:tc>
        <w:tc>
          <w:tcPr>
            <w:tcW w:w="358" w:type="dxa"/>
          </w:tcPr>
          <w:p w14:paraId="775357BB" w14:textId="77777777" w:rsidR="00533CAA" w:rsidRPr="00533CAA" w:rsidRDefault="00533CAA" w:rsidP="00533CAA">
            <w:pPr>
              <w:spacing w:line="259" w:lineRule="auto"/>
              <w:rPr>
                <w:b/>
                <w:bCs/>
                <w:sz w:val="14"/>
                <w:szCs w:val="14"/>
              </w:rPr>
            </w:pPr>
            <w:r w:rsidRPr="00533CAA">
              <w:rPr>
                <w:b/>
                <w:bCs/>
                <w:sz w:val="14"/>
                <w:szCs w:val="14"/>
              </w:rPr>
              <w:t>24</w:t>
            </w:r>
          </w:p>
        </w:tc>
        <w:tc>
          <w:tcPr>
            <w:tcW w:w="424" w:type="dxa"/>
          </w:tcPr>
          <w:p w14:paraId="53598855" w14:textId="77777777" w:rsidR="00533CAA" w:rsidRPr="00533CAA" w:rsidRDefault="00533CAA" w:rsidP="00533CAA">
            <w:pPr>
              <w:spacing w:line="259" w:lineRule="auto"/>
              <w:rPr>
                <w:b/>
                <w:bCs/>
                <w:sz w:val="14"/>
                <w:szCs w:val="14"/>
              </w:rPr>
            </w:pPr>
            <w:r w:rsidRPr="00533CAA">
              <w:rPr>
                <w:b/>
                <w:bCs/>
                <w:sz w:val="14"/>
                <w:szCs w:val="14"/>
              </w:rPr>
              <w:t>28</w:t>
            </w:r>
          </w:p>
        </w:tc>
        <w:tc>
          <w:tcPr>
            <w:tcW w:w="358" w:type="dxa"/>
          </w:tcPr>
          <w:p w14:paraId="2CD01832" w14:textId="77777777" w:rsidR="00533CAA" w:rsidRPr="00533CAA" w:rsidRDefault="00533CAA" w:rsidP="00533CAA">
            <w:pPr>
              <w:spacing w:line="259" w:lineRule="auto"/>
              <w:rPr>
                <w:b/>
                <w:bCs/>
                <w:sz w:val="14"/>
                <w:szCs w:val="14"/>
              </w:rPr>
            </w:pPr>
            <w:r w:rsidRPr="00533CAA">
              <w:rPr>
                <w:b/>
                <w:bCs/>
                <w:sz w:val="14"/>
                <w:szCs w:val="14"/>
              </w:rPr>
              <w:t>30</w:t>
            </w:r>
          </w:p>
        </w:tc>
        <w:tc>
          <w:tcPr>
            <w:tcW w:w="424" w:type="dxa"/>
          </w:tcPr>
          <w:p w14:paraId="463CFE8B" w14:textId="77777777" w:rsidR="00533CAA" w:rsidRPr="00533CAA" w:rsidRDefault="00533CAA" w:rsidP="00533CAA">
            <w:pPr>
              <w:spacing w:line="259" w:lineRule="auto"/>
              <w:rPr>
                <w:b/>
                <w:bCs/>
                <w:sz w:val="14"/>
                <w:szCs w:val="14"/>
              </w:rPr>
            </w:pPr>
            <w:r w:rsidRPr="00533CAA">
              <w:rPr>
                <w:b/>
                <w:bCs/>
                <w:sz w:val="14"/>
                <w:szCs w:val="14"/>
              </w:rPr>
              <w:t>32</w:t>
            </w:r>
          </w:p>
        </w:tc>
        <w:tc>
          <w:tcPr>
            <w:tcW w:w="358" w:type="dxa"/>
          </w:tcPr>
          <w:p w14:paraId="2CFE062B" w14:textId="77777777" w:rsidR="00533CAA" w:rsidRPr="00533CAA" w:rsidRDefault="00533CAA" w:rsidP="00533CAA">
            <w:pPr>
              <w:spacing w:line="259" w:lineRule="auto"/>
              <w:rPr>
                <w:b/>
                <w:bCs/>
                <w:sz w:val="14"/>
                <w:szCs w:val="14"/>
              </w:rPr>
            </w:pPr>
            <w:r w:rsidRPr="00533CAA">
              <w:rPr>
                <w:b/>
                <w:bCs/>
                <w:sz w:val="14"/>
                <w:szCs w:val="14"/>
              </w:rPr>
              <w:t>35</w:t>
            </w:r>
          </w:p>
        </w:tc>
        <w:tc>
          <w:tcPr>
            <w:tcW w:w="424" w:type="dxa"/>
          </w:tcPr>
          <w:p w14:paraId="283F7A23" w14:textId="77777777" w:rsidR="00533CAA" w:rsidRPr="00533CAA" w:rsidRDefault="00533CAA" w:rsidP="00533CAA">
            <w:pPr>
              <w:spacing w:line="259" w:lineRule="auto"/>
              <w:rPr>
                <w:b/>
                <w:bCs/>
                <w:sz w:val="14"/>
                <w:szCs w:val="14"/>
              </w:rPr>
            </w:pPr>
            <w:r w:rsidRPr="00533CAA">
              <w:rPr>
                <w:b/>
                <w:bCs/>
                <w:sz w:val="14"/>
                <w:szCs w:val="14"/>
              </w:rPr>
              <w:t>38</w:t>
            </w:r>
          </w:p>
        </w:tc>
        <w:tc>
          <w:tcPr>
            <w:tcW w:w="358" w:type="dxa"/>
          </w:tcPr>
          <w:p w14:paraId="263D5461" w14:textId="77777777" w:rsidR="00533CAA" w:rsidRPr="00533CAA" w:rsidRDefault="00533CAA" w:rsidP="00533CAA">
            <w:pPr>
              <w:spacing w:line="259" w:lineRule="auto"/>
              <w:rPr>
                <w:b/>
                <w:bCs/>
                <w:sz w:val="14"/>
                <w:szCs w:val="14"/>
              </w:rPr>
            </w:pPr>
            <w:r w:rsidRPr="00533CAA">
              <w:rPr>
                <w:b/>
                <w:bCs/>
                <w:sz w:val="14"/>
                <w:szCs w:val="14"/>
              </w:rPr>
              <w:t>40</w:t>
            </w:r>
          </w:p>
        </w:tc>
        <w:tc>
          <w:tcPr>
            <w:tcW w:w="424" w:type="dxa"/>
          </w:tcPr>
          <w:p w14:paraId="19DAC18A" w14:textId="77777777" w:rsidR="00533CAA" w:rsidRPr="00533CAA" w:rsidRDefault="00533CAA" w:rsidP="00533CAA">
            <w:pPr>
              <w:spacing w:line="259" w:lineRule="auto"/>
              <w:rPr>
                <w:b/>
                <w:bCs/>
                <w:sz w:val="14"/>
                <w:szCs w:val="14"/>
              </w:rPr>
            </w:pPr>
            <w:r w:rsidRPr="00533CAA">
              <w:rPr>
                <w:b/>
                <w:bCs/>
                <w:sz w:val="14"/>
                <w:szCs w:val="14"/>
              </w:rPr>
              <w:t>44</w:t>
            </w:r>
          </w:p>
        </w:tc>
        <w:tc>
          <w:tcPr>
            <w:tcW w:w="358" w:type="dxa"/>
          </w:tcPr>
          <w:p w14:paraId="783F9CBA" w14:textId="77777777" w:rsidR="00533CAA" w:rsidRPr="00533CAA" w:rsidRDefault="00533CAA" w:rsidP="00533CAA">
            <w:pPr>
              <w:spacing w:line="259" w:lineRule="auto"/>
              <w:rPr>
                <w:b/>
                <w:bCs/>
                <w:sz w:val="14"/>
                <w:szCs w:val="14"/>
              </w:rPr>
            </w:pPr>
            <w:r w:rsidRPr="00533CAA">
              <w:rPr>
                <w:b/>
                <w:bCs/>
                <w:sz w:val="14"/>
                <w:szCs w:val="14"/>
              </w:rPr>
              <w:t>63</w:t>
            </w:r>
          </w:p>
        </w:tc>
        <w:tc>
          <w:tcPr>
            <w:tcW w:w="424" w:type="dxa"/>
          </w:tcPr>
          <w:p w14:paraId="3B6C845B" w14:textId="77777777" w:rsidR="00533CAA" w:rsidRPr="00533CAA" w:rsidRDefault="00533CAA" w:rsidP="00533CAA">
            <w:pPr>
              <w:spacing w:line="259" w:lineRule="auto"/>
              <w:rPr>
                <w:b/>
                <w:bCs/>
                <w:sz w:val="14"/>
                <w:szCs w:val="14"/>
              </w:rPr>
            </w:pPr>
            <w:r w:rsidRPr="00533CAA">
              <w:rPr>
                <w:b/>
                <w:bCs/>
                <w:sz w:val="14"/>
                <w:szCs w:val="14"/>
              </w:rPr>
              <w:t>70</w:t>
            </w:r>
          </w:p>
        </w:tc>
        <w:tc>
          <w:tcPr>
            <w:tcW w:w="358" w:type="dxa"/>
          </w:tcPr>
          <w:p w14:paraId="4D1E6968" w14:textId="77777777" w:rsidR="00533CAA" w:rsidRPr="00533CAA" w:rsidRDefault="00533CAA" w:rsidP="00533CAA">
            <w:pPr>
              <w:spacing w:line="259" w:lineRule="auto"/>
              <w:rPr>
                <w:b/>
                <w:bCs/>
                <w:sz w:val="14"/>
                <w:szCs w:val="14"/>
              </w:rPr>
            </w:pPr>
            <w:r w:rsidRPr="00533CAA">
              <w:rPr>
                <w:b/>
                <w:bCs/>
                <w:sz w:val="14"/>
                <w:szCs w:val="14"/>
              </w:rPr>
              <w:t>76</w:t>
            </w:r>
          </w:p>
        </w:tc>
        <w:tc>
          <w:tcPr>
            <w:tcW w:w="396" w:type="dxa"/>
          </w:tcPr>
          <w:p w14:paraId="22BE8629" w14:textId="77777777" w:rsidR="00533CAA" w:rsidRPr="00533CAA" w:rsidRDefault="00533CAA" w:rsidP="00533CAA">
            <w:pPr>
              <w:spacing w:line="259" w:lineRule="auto"/>
              <w:rPr>
                <w:b/>
                <w:bCs/>
                <w:sz w:val="14"/>
                <w:szCs w:val="14"/>
              </w:rPr>
            </w:pPr>
            <w:r w:rsidRPr="00533CAA">
              <w:rPr>
                <w:b/>
                <w:bCs/>
                <w:sz w:val="14"/>
                <w:szCs w:val="14"/>
              </w:rPr>
              <w:t>92</w:t>
            </w:r>
          </w:p>
        </w:tc>
        <w:tc>
          <w:tcPr>
            <w:tcW w:w="429" w:type="dxa"/>
          </w:tcPr>
          <w:p w14:paraId="022DA266" w14:textId="77777777" w:rsidR="00533CAA" w:rsidRPr="00533CAA" w:rsidRDefault="00533CAA" w:rsidP="00533CAA">
            <w:pPr>
              <w:spacing w:line="259" w:lineRule="auto"/>
              <w:rPr>
                <w:b/>
                <w:bCs/>
                <w:sz w:val="14"/>
                <w:szCs w:val="14"/>
              </w:rPr>
            </w:pPr>
            <w:r w:rsidRPr="00533CAA">
              <w:rPr>
                <w:b/>
                <w:bCs/>
                <w:sz w:val="14"/>
                <w:szCs w:val="14"/>
              </w:rPr>
              <w:t>100</w:t>
            </w:r>
          </w:p>
        </w:tc>
      </w:tr>
    </w:tbl>
    <w:p w14:paraId="0B340C30" w14:textId="77777777" w:rsidR="00334312" w:rsidRDefault="00334312" w:rsidP="00533CAA">
      <w:pPr>
        <w:spacing w:after="0"/>
        <w:jc w:val="both"/>
      </w:pPr>
    </w:p>
    <w:p w14:paraId="7F81BBBA" w14:textId="6D1DFF38" w:rsidR="00BA75C6" w:rsidRDefault="00334312" w:rsidP="00334312">
      <w:pPr>
        <w:spacing w:after="0"/>
        <w:ind w:firstLine="708"/>
        <w:jc w:val="both"/>
      </w:pPr>
      <w:r w:rsidRPr="00334312">
        <w:t xml:space="preserve">Le raisonnement et détails afin d’arriver à la matrice ci-dessous, échappe aux recherches, mais nul doute qu’un tel tableau ne peut être que le résultat de moultes </w:t>
      </w:r>
      <w:r w:rsidRPr="00334312">
        <w:lastRenderedPageBreak/>
        <w:t>recherches et examens d’exemplaires physiques que l’archéologue précité a entrepris.</w:t>
      </w:r>
      <w:r>
        <w:t xml:space="preserve"> </w:t>
      </w:r>
      <w:r w:rsidR="00BA75C6" w:rsidRPr="00BA75C6">
        <w:t>Par ailleurs, J-M Doyen propose que l’indice d’usure soit déterminé de manière purement visuelle ce qui implicitement suggère plusieurs observateurs ou observations afin de réduire la subjectivité « interprétative » inhérente à ce mode d’évaluation, méthode parfois utilisée pour certains examens de pièces mécaniques en mouvement et qui fait appel à des calculs statistiques et de probabilités de haut niveau.</w:t>
      </w:r>
    </w:p>
    <w:p w14:paraId="6799FDCB" w14:textId="4E5D14A2" w:rsidR="00533CAA" w:rsidRDefault="00334312" w:rsidP="00334312">
      <w:pPr>
        <w:spacing w:after="0"/>
        <w:ind w:firstLine="708"/>
        <w:jc w:val="both"/>
      </w:pPr>
      <w:r w:rsidRPr="00334312">
        <w:t xml:space="preserve">A l’examen de ce tableau, l’on constate que l’indice d’usure ne tient apparemment pas compte des caractéristiques monétaires tel le métal, la masse et dimensions, ce qui suscite </w:t>
      </w:r>
      <w:r w:rsidR="008F668D" w:rsidRPr="00334312">
        <w:t>questionnement</w:t>
      </w:r>
      <w:r w:rsidR="008F668D">
        <w:t>s,</w:t>
      </w:r>
      <w:r w:rsidR="00510896">
        <w:t xml:space="preserve"> mais cela </w:t>
      </w:r>
      <w:r w:rsidR="00BA75C6">
        <w:t>peut être</w:t>
      </w:r>
      <w:r w:rsidR="005B6A22">
        <w:t xml:space="preserve"> néanmoins</w:t>
      </w:r>
      <w:r w:rsidR="00BA75C6">
        <w:t xml:space="preserve"> expliqué : les duretés (échelle de Mohs) des méaux monétaires et résultante</w:t>
      </w:r>
      <w:r w:rsidR="005B6A22">
        <w:t>s</w:t>
      </w:r>
      <w:r w:rsidR="00BA75C6">
        <w:t xml:space="preserve"> de l’écrouissage de frappe </w:t>
      </w:r>
      <w:r w:rsidR="008F668D">
        <w:t>étant</w:t>
      </w:r>
      <w:r w:rsidR="00BA75C6">
        <w:t xml:space="preserve"> très proches.</w:t>
      </w:r>
      <w:r w:rsidRPr="00334312">
        <w:t xml:space="preserve"> </w:t>
      </w:r>
    </w:p>
    <w:p w14:paraId="2E70F870" w14:textId="066B0DB2" w:rsidR="00B37096" w:rsidRDefault="00B37096" w:rsidP="00B37096">
      <w:pPr>
        <w:spacing w:after="0"/>
        <w:ind w:firstLine="708"/>
        <w:jc w:val="both"/>
      </w:pPr>
      <w:r>
        <w:t xml:space="preserve">Retenons à ce stade que l’usure subie par les monnaies qui circulent se traduit par une perte de masse par rapport à celle « sortie d’atelier de frappe ». Intuitivement, l’on pense que la nature du métal et les chocs que subissent les monnaies entre elles ou lors de manipulations sont les facteurs principaux. Une étude menée par l’auteur </w:t>
      </w:r>
      <w:r w:rsidR="00BA75C6">
        <w:t>dé</w:t>
      </w:r>
      <w:r>
        <w:t>montre</w:t>
      </w:r>
      <w:r w:rsidR="00BA75C6">
        <w:t xml:space="preserve"> cependant</w:t>
      </w:r>
      <w:r>
        <w:t xml:space="preserve"> qu’un « troisième joueur » joue le rôle fondamental dans la perte de masse : à savoir l’abrasion. </w:t>
      </w:r>
    </w:p>
    <w:p w14:paraId="0002EEF1" w14:textId="51714A8B" w:rsidR="00B37096" w:rsidRDefault="00232906" w:rsidP="00B37096">
      <w:pPr>
        <w:spacing w:after="0"/>
        <w:ind w:firstLine="708"/>
        <w:jc w:val="both"/>
      </w:pPr>
      <w:r>
        <w:t>Cet écrit</w:t>
      </w:r>
      <w:r w:rsidR="00B37096">
        <w:t xml:space="preserve"> est accessible par le canal d’une demande motivée au rédacteur en chef de la revue. Cette étude à caractère scientifique qui vise à expliquer le phénomène d’usure, donc de perte de masse</w:t>
      </w:r>
      <w:r w:rsidR="00BA75C6">
        <w:t>,</w:t>
      </w:r>
      <w:r w:rsidR="00B37096">
        <w:t xml:space="preserve"> fait appel à diverses disciplines telles que la résistance des matériaux,</w:t>
      </w:r>
      <w:r w:rsidR="00BA75C6">
        <w:t xml:space="preserve"> la </w:t>
      </w:r>
      <w:r w:rsidR="005B6A22">
        <w:t>métallographie, la</w:t>
      </w:r>
      <w:r w:rsidR="00B37096">
        <w:t xml:space="preserve"> théorie des chocs et percussions, la théorie des statistiques. Elle s’appuie également sur des essais en laboratoire, essais qui ont pour but de déterminer la loi mathématique qui préside à la perte de masse lorsque des pièces identiques et de mêmes masses sont placées dans un cylindre tournant pendant des heures ; </w:t>
      </w:r>
      <w:r w:rsidR="001A634E">
        <w:t>singulièrement,</w:t>
      </w:r>
      <w:r w:rsidR="00B37096">
        <w:t xml:space="preserve"> cette loi est du type linéaire Mp= α*Tc avec Mp la masse mesurée au temps Tc et α , le coefficient angulaire, est lui fonction de la masse initiale des pièces testées dans le cylindre tournant.</w:t>
      </w:r>
    </w:p>
    <w:p w14:paraId="7B951FCE" w14:textId="77777777" w:rsidR="00334312" w:rsidRPr="0046494E" w:rsidRDefault="00334312" w:rsidP="00533CAA">
      <w:pPr>
        <w:spacing w:after="0"/>
        <w:jc w:val="both"/>
      </w:pPr>
    </w:p>
    <w:p w14:paraId="7331AD44" w14:textId="5DDD6F69" w:rsidR="00491EDC" w:rsidRDefault="00B37096" w:rsidP="00533CAA">
      <w:pPr>
        <w:jc w:val="center"/>
        <w:rPr>
          <w:b/>
          <w:bCs/>
        </w:rPr>
      </w:pPr>
      <w:r>
        <w:rPr>
          <w:b/>
          <w:bCs/>
          <w:noProof/>
        </w:rPr>
        <w:drawing>
          <wp:inline distT="0" distB="0" distL="0" distR="0" wp14:anchorId="79758663" wp14:editId="5EEAC986">
            <wp:extent cx="2016463" cy="1423386"/>
            <wp:effectExtent l="0" t="0" r="3175" b="5715"/>
            <wp:docPr id="935796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461" cy="1424796"/>
                    </a:xfrm>
                    <a:prstGeom prst="rect">
                      <a:avLst/>
                    </a:prstGeom>
                    <a:noFill/>
                  </pic:spPr>
                </pic:pic>
              </a:graphicData>
            </a:graphic>
          </wp:inline>
        </w:drawing>
      </w:r>
    </w:p>
    <w:p w14:paraId="30F0BB68" w14:textId="71D2B91D" w:rsidR="00B566D2" w:rsidRDefault="00B566D2" w:rsidP="00B566D2">
      <w:pPr>
        <w:jc w:val="both"/>
      </w:pPr>
      <w:r w:rsidRPr="00B566D2">
        <w:t>L’on notera également que le tableau de Mr J</w:t>
      </w:r>
      <w:r w:rsidR="009C16C9">
        <w:t>-</w:t>
      </w:r>
      <w:r w:rsidRPr="00B566D2">
        <w:t xml:space="preserve">M Doyen traduit en </w:t>
      </w:r>
      <w:r w:rsidR="005B6A22" w:rsidRPr="00B566D2">
        <w:t>graphique montre</w:t>
      </w:r>
      <w:r w:rsidRPr="00B566D2">
        <w:t xml:space="preserve"> une évolution proche de la linéarité.</w:t>
      </w:r>
      <w:r w:rsidR="001A634E">
        <w:t xml:space="preserve"> Dans le contexte d’une datation à l’échelle archéologique (volume temporel) l’on comprend que les distinctions entre métaux et masses ont peu d’importance.</w:t>
      </w:r>
    </w:p>
    <w:p w14:paraId="6D96A914" w14:textId="501E2C2C" w:rsidR="009A3E7E" w:rsidRPr="009A3E7E" w:rsidRDefault="009A3E7E" w:rsidP="00B566D2">
      <w:pPr>
        <w:jc w:val="both"/>
        <w:rPr>
          <w:b/>
          <w:bCs/>
        </w:rPr>
      </w:pPr>
      <w:r w:rsidRPr="009A3E7E">
        <w:rPr>
          <w:b/>
          <w:bCs/>
        </w:rPr>
        <w:t>L’abrasion</w:t>
      </w:r>
    </w:p>
    <w:p w14:paraId="57E115CB" w14:textId="4F7FAF76" w:rsidR="009A3E7E" w:rsidRDefault="009A3E7E" w:rsidP="009A3E7E">
      <w:pPr>
        <w:jc w:val="both"/>
      </w:pPr>
      <w:r>
        <w:tab/>
      </w:r>
      <w:r w:rsidRPr="009A3E7E">
        <w:t xml:space="preserve">Ce troisième « joueur » ne serait rien d’autre que des poussières, à savoir de microscopiques particules (grains de sables, des fragments de pierre, des résidus de terrains, des résidus de cheminées, des résidus volcaniques ... à côté de fibres textiles, de poils, </w:t>
      </w:r>
      <w:r w:rsidRPr="009A3E7E">
        <w:lastRenderedPageBreak/>
        <w:t>particules de peau, de spores et champignons…) transportées par l’homme et les éléments naturels. L’action de ces particules dont la surface de contact est microscopique</w:t>
      </w:r>
      <w:r w:rsidR="005B6A22">
        <w:t xml:space="preserve"> (de l’ordre du micron voire moins)</w:t>
      </w:r>
      <w:r w:rsidRPr="009A3E7E">
        <w:t>, est qualifiée d’abrasion et les pressions générées pour N particules très dures (sable, pierre) se trouvant entre deux monnaies en contact peuvent atteindre des tonnes ou centaines de kg/ cm²</w:t>
      </w:r>
      <w:r w:rsidR="009C16C9">
        <w:t xml:space="preserve"> à la surface de contact particule / empreinte monétaire</w:t>
      </w:r>
      <w:r w:rsidRPr="009A3E7E">
        <w:t>.</w:t>
      </w:r>
      <w:r>
        <w:t xml:space="preserve"> Ce phénomène abrasif, permanent lorsque la monnaie circule</w:t>
      </w:r>
      <w:r w:rsidR="00F84B73">
        <w:t xml:space="preserve"> ou est en mouvement (transport)</w:t>
      </w:r>
      <w:r>
        <w:t>, se manifeste par des griffures de déformations plastiques et même avec enlèvement de métal. L’abrasion est donc à l’origine de la perte de masse mais également, dans une moindre mesure du démarrage d’une altération par corrosion (abrasion de la patine). De plus, le processus d’abrasion étant continu lorsque la monnaie circule</w:t>
      </w:r>
      <w:r w:rsidR="005B6A22">
        <w:t>,</w:t>
      </w:r>
      <w:r>
        <w:t xml:space="preserve"> les traces successives peuvent s’étioler voire disparaître au cours des échanges. En d’autres termes l’usure visuellement constatée ne représente que l’état final au moment de la perte et les « informations » précédentes sont perdues. D’où l’intérêt de considérer les pertes de masse </w:t>
      </w:r>
      <w:r w:rsidR="00043D1F">
        <w:t>en complément de</w:t>
      </w:r>
      <w:r>
        <w:t xml:space="preserve"> l’aspect visuel final.  A ce stade, il convient de comprendre que l’usure présente sur les monnaies est due essentiellement aux manipulations de celles-ci donc de la circulation monétaire et des conditions dans lesquelles cette circulation se produit, paramètre qu’il est difficile de maîtriser.  Il faut également préciser qu’il n’existe pas de relation biunivoque entre usure de circulation et distance entre lieu d’émission et lieu de la </w:t>
      </w:r>
      <w:r w:rsidR="00343CD3">
        <w:t>trouvaille.</w:t>
      </w:r>
      <w:r>
        <w:t xml:space="preserve"> Les découvertes de monnaies usées proche du lieu d’émission en attestent.</w:t>
      </w:r>
    </w:p>
    <w:p w14:paraId="0A9DCBCD" w14:textId="77777777" w:rsidR="00024C08" w:rsidRPr="007918ED" w:rsidRDefault="00024C08" w:rsidP="00024C08">
      <w:pPr>
        <w:rPr>
          <w:b/>
          <w:bCs/>
        </w:rPr>
      </w:pPr>
      <w:r w:rsidRPr="007918ED">
        <w:rPr>
          <w:b/>
          <w:bCs/>
        </w:rPr>
        <w:t>Les monnaies comme outil de datation d’une strate archéologique : la panacée ?</w:t>
      </w:r>
    </w:p>
    <w:p w14:paraId="62A02806" w14:textId="5DB72E5A" w:rsidR="00024C08" w:rsidRDefault="00024C08" w:rsidP="00024C08">
      <w:pPr>
        <w:ind w:firstLine="708"/>
        <w:jc w:val="both"/>
      </w:pPr>
      <w:r>
        <w:t xml:space="preserve">De ce qui précède, l’on pourrait déduire que l’examen de l’usure des monnaies d’un même type permettrait de fournir </w:t>
      </w:r>
      <w:r w:rsidR="005B6A22">
        <w:t>précisément</w:t>
      </w:r>
      <w:r>
        <w:t xml:space="preserve"> un espace temporel à une strate archéologique et de confirmer une datation d’autres artéfacts issus de la même strate. Il faut cependant être prudent avec cette approche. En effet l’usure d’une monnaie n’est le reflet que des conditions et de l’intensité de circulation (nombre de fois qu’une monnaie change de propriétaire par unité de temps) de celle-ci. Nous avons mentionné que le métal monétaire pouvait </w:t>
      </w:r>
      <w:r w:rsidR="00CE507A">
        <w:t xml:space="preserve">éventuellement </w:t>
      </w:r>
      <w:r>
        <w:t xml:space="preserve">jouer un rôle dans le sens ou les métaux nobles circulent moins vite. Traduit en langage économique, cette </w:t>
      </w:r>
      <w:r w:rsidR="00DA67D2">
        <w:t>considération</w:t>
      </w:r>
      <w:r>
        <w:t xml:space="preserve"> n’est rien d’autre que la traduction de l’équation de Fisher P</w:t>
      </w:r>
      <w:r w:rsidRPr="007918ED">
        <w:t xml:space="preserve"> = MV / Q</w:t>
      </w:r>
      <w:r>
        <w:t xml:space="preserve"> dont les quatre variables sont :</w:t>
      </w:r>
    </w:p>
    <w:p w14:paraId="352C62FE" w14:textId="707B1689" w:rsidR="00024C08" w:rsidRDefault="00024C08" w:rsidP="00024C08">
      <w:pPr>
        <w:ind w:left="708" w:firstLine="60"/>
        <w:jc w:val="both"/>
      </w:pPr>
      <w:r w:rsidRPr="007918ED">
        <w:t>M = masse monétaire</w:t>
      </w:r>
      <w:r>
        <w:t xml:space="preserve"> ou la </w:t>
      </w:r>
      <w:r w:rsidRPr="007918ED">
        <w:t>quantité de monnaie en circulation</w:t>
      </w:r>
      <w:r>
        <w:t xml:space="preserve"> : il y a plus de monnaies de bronze produites que de monnaies d’or ou d’argent et </w:t>
      </w:r>
      <w:r w:rsidRPr="00B4018C">
        <w:t>M varie avec le temps, puisque de nouvelles monnaies sont mises en circulation tandis que d’autres en sont retirées</w:t>
      </w:r>
      <w:r w:rsidR="002F5C5A">
        <w:t xml:space="preserve"> </w:t>
      </w:r>
      <w:r w:rsidRPr="00B4018C">
        <w:t>par perte, thésaurisation, refonte, etc.</w:t>
      </w:r>
      <w:r>
        <w:t xml:space="preserve"> D’où l’utilité pour l’archéologue d’étudier les monnaies </w:t>
      </w:r>
      <w:r w:rsidR="002F5C5A">
        <w:t xml:space="preserve">mises à jour par </w:t>
      </w:r>
      <w:r>
        <w:t>type</w:t>
      </w:r>
      <w:r w:rsidR="002F5C5A">
        <w:t xml:space="preserve"> de monnaie (monnaies identiques) </w:t>
      </w:r>
    </w:p>
    <w:p w14:paraId="02DE8AEF" w14:textId="65EFD9BC" w:rsidR="00024C08" w:rsidRDefault="00024C08" w:rsidP="00024C08">
      <w:pPr>
        <w:ind w:left="708"/>
        <w:jc w:val="both"/>
      </w:pPr>
      <w:r w:rsidRPr="007918ED">
        <w:t>V = vitesse de circulation de la monnaie</w:t>
      </w:r>
      <w:r>
        <w:t xml:space="preserve"> c-à-d </w:t>
      </w:r>
      <w:r w:rsidRPr="007918ED">
        <w:t>le</w:t>
      </w:r>
      <w:r w:rsidRPr="00B4018C">
        <w:t xml:space="preserve"> nombre de transactions</w:t>
      </w:r>
      <w:r>
        <w:t xml:space="preserve"> (donc indirectement le mode de transport</w:t>
      </w:r>
      <w:r w:rsidR="00DA67D2">
        <w:t>)</w:t>
      </w:r>
      <w:r w:rsidRPr="00B4018C">
        <w:t xml:space="preserve"> effectuées avec une même monnaie</w:t>
      </w:r>
      <w:r>
        <w:t>. C’est à ce niveau qu’intervient l’usure (abrasion) et plus spécifiquement la perte de masse par rapport à la masse théorique sortie de l’atelier.</w:t>
      </w:r>
      <w:r w:rsidR="00554634" w:rsidRPr="00554634">
        <w:t xml:space="preserve"> Plus une monnaie est en circulation longtemps, plus elle a donc de chances de servir à de nombreuses transactions. </w:t>
      </w:r>
      <w:r w:rsidR="00554634" w:rsidRPr="00554634">
        <w:lastRenderedPageBreak/>
        <w:t>Toutefois, on ne peut déduire l’intensité de circulation d’une pièce de sa seule durée de circulation.</w:t>
      </w:r>
      <w:r>
        <w:t xml:space="preserve"> A ce propos, une corrélation entre l’indice d’usure avancé par Mr J-L Doyen et la</w:t>
      </w:r>
      <w:r w:rsidR="00554634">
        <w:t xml:space="preserve"> </w:t>
      </w:r>
      <w:r>
        <w:t>perte relative de masse (exprimée en %) serait particulièrement utile pour dater une trouvaille monétaire</w:t>
      </w:r>
      <w:r w:rsidR="00DA67D2">
        <w:t>.</w:t>
      </w:r>
      <w:r w:rsidRPr="007918ED">
        <w:t xml:space="preserve"> </w:t>
      </w:r>
    </w:p>
    <w:p w14:paraId="2E84B271" w14:textId="6EBE5132" w:rsidR="00024C08" w:rsidRDefault="00024C08" w:rsidP="00024C08">
      <w:pPr>
        <w:ind w:left="708"/>
        <w:jc w:val="both"/>
      </w:pPr>
      <w:r w:rsidRPr="007918ED">
        <w:t>P = niveau des prix,</w:t>
      </w:r>
      <w:r>
        <w:t xml:space="preserve"> </w:t>
      </w:r>
      <w:r w:rsidRPr="007918ED">
        <w:t>Q = volume des biens en circulation</w:t>
      </w:r>
      <w:r>
        <w:t> : ces deux paramètres très difficiles à maîtriser, ressortissent aux travaux d’historiens et notamment à l’étude des ordonnances monétaires.</w:t>
      </w:r>
    </w:p>
    <w:p w14:paraId="43C9F3D2" w14:textId="77777777" w:rsidR="00A9577F" w:rsidRPr="00D618A4" w:rsidRDefault="00A9577F" w:rsidP="00A9577F">
      <w:pPr>
        <w:jc w:val="both"/>
        <w:rPr>
          <w:b/>
          <w:bCs/>
        </w:rPr>
      </w:pPr>
      <w:r w:rsidRPr="00D618A4">
        <w:rPr>
          <w:b/>
          <w:bCs/>
        </w:rPr>
        <w:t>En synthèse</w:t>
      </w:r>
    </w:p>
    <w:p w14:paraId="359B9D53" w14:textId="24DA7004" w:rsidR="00A9577F" w:rsidRDefault="00A9577F" w:rsidP="00A9577F">
      <w:pPr>
        <w:ind w:firstLine="708"/>
        <w:jc w:val="both"/>
      </w:pPr>
      <w:r>
        <w:t xml:space="preserve">Le lecteur l’aura compris, la numismatique peut certes aider à circonscrire la datation d’une couche archéologique bien déterminée mais avec d’autres artéfacts qui en proviennent. Contrairement à l’intuition, </w:t>
      </w:r>
      <w:r w:rsidR="00603D3B">
        <w:t>c’est</w:t>
      </w:r>
      <w:r>
        <w:t xml:space="preserve"> l’examen des monnaies en métal peu noble (bronze, cuivre …</w:t>
      </w:r>
      <w:r w:rsidR="0048209D">
        <w:t>),</w:t>
      </w:r>
      <w:r>
        <w:t xml:space="preserve"> </w:t>
      </w:r>
      <w:r w:rsidR="00603D3B">
        <w:t>étudiées</w:t>
      </w:r>
      <w:r>
        <w:t xml:space="preserve"> type par type sur un même site, qui sont susceptibles de fournir des informations temporelles d’occupation humaines. Les monnaies de forte valeur </w:t>
      </w:r>
      <w:r w:rsidR="00603D3B">
        <w:t>étant</w:t>
      </w:r>
      <w:r>
        <w:t xml:space="preserve"> moins nombreuses, circulent moins vite et sont souvent thésaurisées en tant que réserve de valeur au-delà même de leur décri. L’ennui, est que ces monnaies en métal peu noble et usées sont souvent oubliées et négligées en raison de leur peu de valeur</w:t>
      </w:r>
      <w:r w:rsidR="00EA03CA">
        <w:t xml:space="preserve"> « commerciale »</w:t>
      </w:r>
      <w:r>
        <w:t xml:space="preserve">. </w:t>
      </w:r>
    </w:p>
    <w:p w14:paraId="1421FAF5" w14:textId="7D718B21" w:rsidR="00E700FC" w:rsidRPr="00E700FC" w:rsidRDefault="00A9577F" w:rsidP="00BB59A0">
      <w:pPr>
        <w:ind w:firstLine="708"/>
        <w:jc w:val="both"/>
        <w:rPr>
          <w:b/>
          <w:bCs/>
        </w:rPr>
      </w:pPr>
      <w:r>
        <w:t>Le vrai numismate</w:t>
      </w:r>
      <w:r w:rsidR="00EA03CA">
        <w:t xml:space="preserve">, par opposition au collectionneur pur et simple, </w:t>
      </w:r>
      <w:r>
        <w:t xml:space="preserve"> pourra fournir outre une identification formelle, des informations non seulement quant au pédigrée des types étudiés mais également de les resituer dans leur contexte d’émission tels que les volumes et ateliers</w:t>
      </w:r>
      <w:r w:rsidR="00BB59A0">
        <w:t xml:space="preserve"> de production</w:t>
      </w:r>
      <w:r>
        <w:t xml:space="preserve">, sans oublier les contextes qui ont conduit à émettre des divisionnaires, </w:t>
      </w:r>
      <w:r w:rsidR="00EA03CA">
        <w:t>les retraits</w:t>
      </w:r>
      <w:r>
        <w:t xml:space="preserve"> de circulation, les taux de changes </w:t>
      </w:r>
      <w:r w:rsidR="00EA03CA">
        <w:t xml:space="preserve">, en résumé des informations pouvant aider les archéologues </w:t>
      </w:r>
      <w:r>
        <w:t>: chaque type monétaire a son histoire.</w:t>
      </w:r>
    </w:p>
    <w:sectPr w:rsidR="00E700FC" w:rsidRPr="00E700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92E7" w14:textId="77777777" w:rsidR="00210452" w:rsidRDefault="00210452" w:rsidP="00AA51F4">
      <w:pPr>
        <w:spacing w:after="0" w:line="240" w:lineRule="auto"/>
      </w:pPr>
      <w:r>
        <w:separator/>
      </w:r>
    </w:p>
  </w:endnote>
  <w:endnote w:type="continuationSeparator" w:id="0">
    <w:p w14:paraId="5DF2EB91" w14:textId="77777777" w:rsidR="00210452" w:rsidRDefault="00210452" w:rsidP="00AA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9661" w14:textId="77777777" w:rsidR="00210452" w:rsidRDefault="00210452" w:rsidP="00AA51F4">
      <w:pPr>
        <w:spacing w:after="0" w:line="240" w:lineRule="auto"/>
      </w:pPr>
      <w:r>
        <w:separator/>
      </w:r>
    </w:p>
  </w:footnote>
  <w:footnote w:type="continuationSeparator" w:id="0">
    <w:p w14:paraId="69AFB467" w14:textId="77777777" w:rsidR="00210452" w:rsidRDefault="00210452" w:rsidP="00AA51F4">
      <w:pPr>
        <w:spacing w:after="0" w:line="240" w:lineRule="auto"/>
      </w:pPr>
      <w:r>
        <w:continuationSeparator/>
      </w:r>
    </w:p>
  </w:footnote>
  <w:footnote w:id="1">
    <w:p w14:paraId="3B30327A" w14:textId="63F8D224" w:rsidR="00AA51F4" w:rsidRDefault="00AA51F4">
      <w:pPr>
        <w:pStyle w:val="Notedebasdepage"/>
      </w:pPr>
      <w:r>
        <w:rPr>
          <w:rStyle w:val="Appelnotedebasdep"/>
        </w:rPr>
        <w:footnoteRef/>
      </w:r>
      <w:r>
        <w:t xml:space="preserve"> On notera que cette couche correspond à la profondeur de lame de la charrue et </w:t>
      </w:r>
      <w:r w:rsidR="008005EB">
        <w:t>à celle de</w:t>
      </w:r>
      <w:r w:rsidR="00445891">
        <w:t xml:space="preserve"> fortuitage des</w:t>
      </w:r>
      <w:r w:rsidR="008005EB">
        <w:t xml:space="preserve"> détecteurs de métaux</w:t>
      </w:r>
      <w:r w:rsidR="00445891">
        <w:t xml:space="preserve"> d’agrément</w:t>
      </w:r>
      <w:r w:rsidR="008005EB">
        <w:t>.</w:t>
      </w:r>
    </w:p>
  </w:footnote>
  <w:footnote w:id="2">
    <w:p w14:paraId="7DBC0110" w14:textId="2BE2EDF6" w:rsidR="00563D90" w:rsidRPr="00563D90" w:rsidRDefault="00031753" w:rsidP="00563D90">
      <w:pPr>
        <w:spacing w:after="0"/>
        <w:jc w:val="both"/>
        <w:rPr>
          <w:sz w:val="18"/>
          <w:szCs w:val="18"/>
        </w:rPr>
      </w:pPr>
      <w:r>
        <w:rPr>
          <w:rStyle w:val="Appelnotedebasdep"/>
        </w:rPr>
        <w:footnoteRef/>
      </w:r>
      <w:r>
        <w:t xml:space="preserve"> </w:t>
      </w:r>
      <w:r w:rsidR="00563D90" w:rsidRPr="00563D90">
        <w:rPr>
          <w:sz w:val="18"/>
          <w:szCs w:val="18"/>
        </w:rPr>
        <w:t>Jean-Marc Doyen, « </w:t>
      </w:r>
      <w:r w:rsidR="00563D90" w:rsidRPr="00563D90">
        <w:rPr>
          <w:i/>
          <w:iCs/>
          <w:sz w:val="18"/>
          <w:szCs w:val="18"/>
        </w:rPr>
        <w:t>L’indice d’usure des monnaies en tant que substitut aux indices de fréquence</w:t>
      </w:r>
      <w:r w:rsidR="00563D90" w:rsidRPr="00563D90">
        <w:rPr>
          <w:sz w:val="18"/>
          <w:szCs w:val="18"/>
        </w:rPr>
        <w:t xml:space="preserve"> » sur </w:t>
      </w:r>
      <w:hyperlink r:id="rId1" w:history="1">
        <w:r w:rsidR="00563D90" w:rsidRPr="00563D90">
          <w:rPr>
            <w:color w:val="0000FF"/>
            <w:sz w:val="18"/>
            <w:szCs w:val="18"/>
            <w:u w:val="single"/>
          </w:rPr>
          <w:t>L'indice d'usure des monnaies en tant que substitut aux indices de fréquence: un point de méthode (hal.science)</w:t>
        </w:r>
      </w:hyperlink>
      <w:r w:rsidR="00563D90" w:rsidRPr="00563D90">
        <w:rPr>
          <w:color w:val="0000FF"/>
          <w:sz w:val="18"/>
          <w:szCs w:val="18"/>
          <w:u w:val="single"/>
        </w:rPr>
        <w:t xml:space="preserve"> </w:t>
      </w:r>
      <w:r w:rsidR="00563D90">
        <w:rPr>
          <w:color w:val="0000FF"/>
          <w:sz w:val="18"/>
          <w:szCs w:val="18"/>
          <w:u w:val="single"/>
        </w:rPr>
        <w:t xml:space="preserve"> </w:t>
      </w:r>
      <w:r w:rsidR="00563D90">
        <w:rPr>
          <w:sz w:val="18"/>
          <w:szCs w:val="18"/>
        </w:rPr>
        <w:t xml:space="preserve">et </w:t>
      </w:r>
      <w:r w:rsidR="00563D90" w:rsidRPr="00563D90">
        <w:rPr>
          <w:sz w:val="18"/>
          <w:szCs w:val="18"/>
          <w:vertAlign w:val="superscript"/>
        </w:rPr>
        <w:footnoteRef/>
      </w:r>
      <w:r w:rsidR="00563D90" w:rsidRPr="00563D90">
        <w:rPr>
          <w:sz w:val="18"/>
          <w:szCs w:val="18"/>
        </w:rPr>
        <w:t xml:space="preserve"> Jean-Marc Doyen, « </w:t>
      </w:r>
      <w:r w:rsidR="00563D90" w:rsidRPr="00563D90">
        <w:rPr>
          <w:i/>
          <w:iCs/>
          <w:sz w:val="18"/>
          <w:szCs w:val="18"/>
        </w:rPr>
        <w:t>Usure et obsolescence : deux fausses « bonnes raisons » à la refrappe des monnaies dans l’Antiquité »</w:t>
      </w:r>
      <w:r w:rsidR="00563D90" w:rsidRPr="00563D90">
        <w:rPr>
          <w:sz w:val="18"/>
          <w:szCs w:val="18"/>
        </w:rPr>
        <w:t xml:space="preserve"> sur </w:t>
      </w:r>
      <w:hyperlink r:id="rId2" w:history="1">
        <w:r w:rsidR="00563D90" w:rsidRPr="00563D90">
          <w:rPr>
            <w:color w:val="0000FF"/>
            <w:sz w:val="18"/>
            <w:szCs w:val="18"/>
            <w:u w:val="single"/>
          </w:rPr>
          <w:t>Usure_et_obsolescence_deux_fausses_bonne.pdf</w:t>
        </w:r>
      </w:hyperlink>
      <w:r w:rsidR="00563D90" w:rsidRPr="00563D90">
        <w:rPr>
          <w:color w:val="0000FF"/>
          <w:sz w:val="18"/>
          <w:szCs w:val="18"/>
          <w:u w:val="single"/>
        </w:rPr>
        <w:t xml:space="preserve"> </w:t>
      </w:r>
      <w:r w:rsidR="00563D90" w:rsidRPr="00563D90">
        <w:rPr>
          <w:color w:val="0000FF"/>
          <w:sz w:val="18"/>
          <w:szCs w:val="18"/>
        </w:rPr>
        <w:t xml:space="preserve"> </w:t>
      </w:r>
      <w:r w:rsidR="00563D90" w:rsidRPr="00563D90">
        <w:rPr>
          <w:sz w:val="18"/>
          <w:szCs w:val="18"/>
        </w:rPr>
        <w:t xml:space="preserve">et sur </w:t>
      </w:r>
      <w:hyperlink r:id="rId3" w:history="1">
        <w:r w:rsidR="00563D90" w:rsidRPr="00563D90">
          <w:rPr>
            <w:color w:val="0000FF"/>
            <w:sz w:val="18"/>
            <w:szCs w:val="18"/>
            <w:u w:val="single"/>
          </w:rPr>
          <w:t>2018_8.pdf (numisbel.be)</w:t>
        </w:r>
      </w:hyperlink>
      <w:r w:rsidR="00563D90" w:rsidRPr="00563D90">
        <w:rPr>
          <w:sz w:val="18"/>
          <w:szCs w:val="18"/>
        </w:rPr>
        <w:t xml:space="preserve"> </w:t>
      </w:r>
    </w:p>
    <w:p w14:paraId="3B098DBF" w14:textId="3081CA5C" w:rsidR="00031753" w:rsidRDefault="00031753" w:rsidP="00563D90">
      <w:pPr>
        <w:spacing w:after="0"/>
        <w:jc w:val="both"/>
      </w:pPr>
    </w:p>
    <w:p w14:paraId="2F87C097" w14:textId="788FACD4" w:rsidR="00031753" w:rsidRDefault="00031753">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E85"/>
    <w:multiLevelType w:val="hybridMultilevel"/>
    <w:tmpl w:val="EEB06C3E"/>
    <w:lvl w:ilvl="0" w:tplc="6CDC9328">
      <w:numFmt w:val="bullet"/>
      <w:lvlText w:val="-"/>
      <w:lvlJc w:val="left"/>
      <w:pPr>
        <w:ind w:left="1065" w:hanging="360"/>
      </w:pPr>
      <w:rPr>
        <w:rFonts w:ascii="Calibri" w:eastAsiaTheme="minorHAnsi" w:hAnsi="Calibri" w:cs="Calibri" w:hint="default"/>
      </w:rPr>
    </w:lvl>
    <w:lvl w:ilvl="1" w:tplc="080C0003">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num w:numId="1" w16cid:durableId="109301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82"/>
    <w:rsid w:val="00024C08"/>
    <w:rsid w:val="00025D8E"/>
    <w:rsid w:val="000311C5"/>
    <w:rsid w:val="00031753"/>
    <w:rsid w:val="00036200"/>
    <w:rsid w:val="000368A9"/>
    <w:rsid w:val="00043D1F"/>
    <w:rsid w:val="00055F73"/>
    <w:rsid w:val="000D4CB2"/>
    <w:rsid w:val="000F0DDF"/>
    <w:rsid w:val="000F4DF7"/>
    <w:rsid w:val="00187F04"/>
    <w:rsid w:val="00194012"/>
    <w:rsid w:val="001A634E"/>
    <w:rsid w:val="001D2134"/>
    <w:rsid w:val="0020579E"/>
    <w:rsid w:val="0020714E"/>
    <w:rsid w:val="00210452"/>
    <w:rsid w:val="00232906"/>
    <w:rsid w:val="00243D5D"/>
    <w:rsid w:val="00255E80"/>
    <w:rsid w:val="0029275E"/>
    <w:rsid w:val="002D4DF0"/>
    <w:rsid w:val="002E5A74"/>
    <w:rsid w:val="002E5C9D"/>
    <w:rsid w:val="002F5C5A"/>
    <w:rsid w:val="00311F96"/>
    <w:rsid w:val="00334312"/>
    <w:rsid w:val="00343CD3"/>
    <w:rsid w:val="00360150"/>
    <w:rsid w:val="00375734"/>
    <w:rsid w:val="0039367B"/>
    <w:rsid w:val="003A7FDA"/>
    <w:rsid w:val="003C2B27"/>
    <w:rsid w:val="003C3B82"/>
    <w:rsid w:val="00445891"/>
    <w:rsid w:val="0046494E"/>
    <w:rsid w:val="00471F77"/>
    <w:rsid w:val="0048209D"/>
    <w:rsid w:val="00491EDC"/>
    <w:rsid w:val="004A48E4"/>
    <w:rsid w:val="004B6A72"/>
    <w:rsid w:val="0050133D"/>
    <w:rsid w:val="00510896"/>
    <w:rsid w:val="005214E0"/>
    <w:rsid w:val="00533CAA"/>
    <w:rsid w:val="0055087A"/>
    <w:rsid w:val="00554634"/>
    <w:rsid w:val="00563D90"/>
    <w:rsid w:val="0057190E"/>
    <w:rsid w:val="00574D68"/>
    <w:rsid w:val="005A588D"/>
    <w:rsid w:val="005B6A22"/>
    <w:rsid w:val="00603D3B"/>
    <w:rsid w:val="006A69D9"/>
    <w:rsid w:val="006D310D"/>
    <w:rsid w:val="00782E4B"/>
    <w:rsid w:val="00794FA4"/>
    <w:rsid w:val="007F36F3"/>
    <w:rsid w:val="007F43D5"/>
    <w:rsid w:val="008005EB"/>
    <w:rsid w:val="00856EA8"/>
    <w:rsid w:val="00885BED"/>
    <w:rsid w:val="008A15D2"/>
    <w:rsid w:val="008D4C3F"/>
    <w:rsid w:val="008F668D"/>
    <w:rsid w:val="00910CB5"/>
    <w:rsid w:val="009170C9"/>
    <w:rsid w:val="009217E6"/>
    <w:rsid w:val="00961304"/>
    <w:rsid w:val="00972727"/>
    <w:rsid w:val="009A3E7E"/>
    <w:rsid w:val="009C0A07"/>
    <w:rsid w:val="009C16C9"/>
    <w:rsid w:val="00A02C49"/>
    <w:rsid w:val="00A9577F"/>
    <w:rsid w:val="00AA51F4"/>
    <w:rsid w:val="00AC5884"/>
    <w:rsid w:val="00AF3D95"/>
    <w:rsid w:val="00AF7B7D"/>
    <w:rsid w:val="00B02FA9"/>
    <w:rsid w:val="00B37096"/>
    <w:rsid w:val="00B566D2"/>
    <w:rsid w:val="00B75EBB"/>
    <w:rsid w:val="00B7723D"/>
    <w:rsid w:val="00BA75C6"/>
    <w:rsid w:val="00BB327A"/>
    <w:rsid w:val="00BB59A0"/>
    <w:rsid w:val="00BC7969"/>
    <w:rsid w:val="00BF1DFB"/>
    <w:rsid w:val="00BF2167"/>
    <w:rsid w:val="00C17F06"/>
    <w:rsid w:val="00C34343"/>
    <w:rsid w:val="00CE507A"/>
    <w:rsid w:val="00CF12E8"/>
    <w:rsid w:val="00D63D6F"/>
    <w:rsid w:val="00D70D14"/>
    <w:rsid w:val="00D7337B"/>
    <w:rsid w:val="00D935AB"/>
    <w:rsid w:val="00DA20C0"/>
    <w:rsid w:val="00DA67D2"/>
    <w:rsid w:val="00DC4539"/>
    <w:rsid w:val="00DC5539"/>
    <w:rsid w:val="00DF609E"/>
    <w:rsid w:val="00E700FC"/>
    <w:rsid w:val="00E74C96"/>
    <w:rsid w:val="00E95B2B"/>
    <w:rsid w:val="00EA03CA"/>
    <w:rsid w:val="00EC05C2"/>
    <w:rsid w:val="00EE6FEF"/>
    <w:rsid w:val="00EE789A"/>
    <w:rsid w:val="00F31279"/>
    <w:rsid w:val="00F36AB6"/>
    <w:rsid w:val="00F84B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DD39"/>
  <w15:chartTrackingRefBased/>
  <w15:docId w15:val="{2E7344AC-5982-4C8A-8F88-B945CEBC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3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C3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C3B8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C3B8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C3B8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C3B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3B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3B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3B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B8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C3B8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C3B8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C3B8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C3B8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C3B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3B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3B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3B82"/>
    <w:rPr>
      <w:rFonts w:eastAsiaTheme="majorEastAsia" w:cstheme="majorBidi"/>
      <w:color w:val="272727" w:themeColor="text1" w:themeTint="D8"/>
    </w:rPr>
  </w:style>
  <w:style w:type="paragraph" w:styleId="Titre">
    <w:name w:val="Title"/>
    <w:basedOn w:val="Normal"/>
    <w:next w:val="Normal"/>
    <w:link w:val="TitreCar"/>
    <w:uiPriority w:val="10"/>
    <w:qFormat/>
    <w:rsid w:val="003C3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3B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3B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3B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3B82"/>
    <w:pPr>
      <w:spacing w:before="160"/>
      <w:jc w:val="center"/>
    </w:pPr>
    <w:rPr>
      <w:i/>
      <w:iCs/>
      <w:color w:val="404040" w:themeColor="text1" w:themeTint="BF"/>
    </w:rPr>
  </w:style>
  <w:style w:type="character" w:customStyle="1" w:styleId="CitationCar">
    <w:name w:val="Citation Car"/>
    <w:basedOn w:val="Policepardfaut"/>
    <w:link w:val="Citation"/>
    <w:uiPriority w:val="29"/>
    <w:rsid w:val="003C3B82"/>
    <w:rPr>
      <w:i/>
      <w:iCs/>
      <w:color w:val="404040" w:themeColor="text1" w:themeTint="BF"/>
    </w:rPr>
  </w:style>
  <w:style w:type="paragraph" w:styleId="Paragraphedeliste">
    <w:name w:val="List Paragraph"/>
    <w:basedOn w:val="Normal"/>
    <w:uiPriority w:val="34"/>
    <w:qFormat/>
    <w:rsid w:val="003C3B82"/>
    <w:pPr>
      <w:ind w:left="720"/>
      <w:contextualSpacing/>
    </w:pPr>
  </w:style>
  <w:style w:type="character" w:styleId="Accentuationintense">
    <w:name w:val="Intense Emphasis"/>
    <w:basedOn w:val="Policepardfaut"/>
    <w:uiPriority w:val="21"/>
    <w:qFormat/>
    <w:rsid w:val="003C3B82"/>
    <w:rPr>
      <w:i/>
      <w:iCs/>
      <w:color w:val="2F5496" w:themeColor="accent1" w:themeShade="BF"/>
    </w:rPr>
  </w:style>
  <w:style w:type="paragraph" w:styleId="Citationintense">
    <w:name w:val="Intense Quote"/>
    <w:basedOn w:val="Normal"/>
    <w:next w:val="Normal"/>
    <w:link w:val="CitationintenseCar"/>
    <w:uiPriority w:val="30"/>
    <w:qFormat/>
    <w:rsid w:val="003C3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C3B82"/>
    <w:rPr>
      <w:i/>
      <w:iCs/>
      <w:color w:val="2F5496" w:themeColor="accent1" w:themeShade="BF"/>
    </w:rPr>
  </w:style>
  <w:style w:type="character" w:styleId="Rfrenceintense">
    <w:name w:val="Intense Reference"/>
    <w:basedOn w:val="Policepardfaut"/>
    <w:uiPriority w:val="32"/>
    <w:qFormat/>
    <w:rsid w:val="003C3B82"/>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AA51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51F4"/>
    <w:rPr>
      <w:sz w:val="20"/>
      <w:szCs w:val="20"/>
    </w:rPr>
  </w:style>
  <w:style w:type="character" w:styleId="Appelnotedebasdep">
    <w:name w:val="footnote reference"/>
    <w:basedOn w:val="Policepardfaut"/>
    <w:uiPriority w:val="99"/>
    <w:semiHidden/>
    <w:unhideWhenUsed/>
    <w:rsid w:val="00AA51F4"/>
    <w:rPr>
      <w:vertAlign w:val="superscript"/>
    </w:rPr>
  </w:style>
  <w:style w:type="character" w:styleId="Marquedecommentaire">
    <w:name w:val="annotation reference"/>
    <w:basedOn w:val="Policepardfaut"/>
    <w:uiPriority w:val="99"/>
    <w:semiHidden/>
    <w:unhideWhenUsed/>
    <w:rsid w:val="006D310D"/>
    <w:rPr>
      <w:sz w:val="16"/>
      <w:szCs w:val="16"/>
    </w:rPr>
  </w:style>
  <w:style w:type="paragraph" w:styleId="Commentaire">
    <w:name w:val="annotation text"/>
    <w:basedOn w:val="Normal"/>
    <w:link w:val="CommentaireCar"/>
    <w:uiPriority w:val="99"/>
    <w:semiHidden/>
    <w:unhideWhenUsed/>
    <w:rsid w:val="006D310D"/>
    <w:pPr>
      <w:spacing w:line="240" w:lineRule="auto"/>
    </w:pPr>
    <w:rPr>
      <w:sz w:val="20"/>
      <w:szCs w:val="20"/>
    </w:rPr>
  </w:style>
  <w:style w:type="character" w:customStyle="1" w:styleId="CommentaireCar">
    <w:name w:val="Commentaire Car"/>
    <w:basedOn w:val="Policepardfaut"/>
    <w:link w:val="Commentaire"/>
    <w:uiPriority w:val="99"/>
    <w:semiHidden/>
    <w:rsid w:val="006D310D"/>
    <w:rPr>
      <w:sz w:val="20"/>
      <w:szCs w:val="20"/>
    </w:rPr>
  </w:style>
  <w:style w:type="paragraph" w:styleId="Objetducommentaire">
    <w:name w:val="annotation subject"/>
    <w:basedOn w:val="Commentaire"/>
    <w:next w:val="Commentaire"/>
    <w:link w:val="ObjetducommentaireCar"/>
    <w:uiPriority w:val="99"/>
    <w:semiHidden/>
    <w:unhideWhenUsed/>
    <w:rsid w:val="006D310D"/>
    <w:rPr>
      <w:b/>
      <w:bCs/>
    </w:rPr>
  </w:style>
  <w:style w:type="character" w:customStyle="1" w:styleId="ObjetducommentaireCar">
    <w:name w:val="Objet du commentaire Car"/>
    <w:basedOn w:val="CommentaireCar"/>
    <w:link w:val="Objetducommentaire"/>
    <w:uiPriority w:val="99"/>
    <w:semiHidden/>
    <w:rsid w:val="006D310D"/>
    <w:rPr>
      <w:b/>
      <w:bCs/>
      <w:sz w:val="20"/>
      <w:szCs w:val="20"/>
    </w:rPr>
  </w:style>
  <w:style w:type="table" w:styleId="Grilledutableau">
    <w:name w:val="Table Grid"/>
    <w:basedOn w:val="TableauNormal"/>
    <w:uiPriority w:val="39"/>
    <w:rsid w:val="00533C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umisbel.be/2018_8.pdf" TargetMode="External"/><Relationship Id="rId2" Type="http://schemas.openxmlformats.org/officeDocument/2006/relationships/hyperlink" Target="file:///C:\Users\Philippe%20Bodet\Downloads\Usure_et_obsolescence_deux_fausses_bonne.pdf" TargetMode="External"/><Relationship Id="rId1" Type="http://schemas.openxmlformats.org/officeDocument/2006/relationships/hyperlink" Target="https://hal.science/hal-04445777/docu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0EE7-0B12-4757-A865-DADD8F60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7</Pages>
  <Words>2966</Words>
  <Characters>16314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Bodet</dc:creator>
  <cp:keywords/>
  <dc:description/>
  <cp:lastModifiedBy>Philippe Bodet</cp:lastModifiedBy>
  <cp:revision>102</cp:revision>
  <dcterms:created xsi:type="dcterms:W3CDTF">2025-04-12T06:43:00Z</dcterms:created>
  <dcterms:modified xsi:type="dcterms:W3CDTF">2025-04-15T12:32:00Z</dcterms:modified>
</cp:coreProperties>
</file>